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3BABB8" w14:textId="54A7282B" w:rsidR="009973C7" w:rsidRPr="009973C7" w:rsidRDefault="009973C7" w:rsidP="009973C7">
      <w:pPr>
        <w:rPr>
          <w:b/>
          <w:sz w:val="32"/>
        </w:rPr>
      </w:pPr>
      <w:bookmarkStart w:id="0" w:name="_GoBack"/>
      <w:bookmarkEnd w:id="0"/>
      <w:r w:rsidRPr="009973C7">
        <w:rPr>
          <w:b/>
          <w:sz w:val="32"/>
        </w:rPr>
        <w:t>Risiko og sårbarhetsanalyse - oversiktsnotat</w:t>
      </w:r>
    </w:p>
    <w:p w14:paraId="5F7A4CC6" w14:textId="2D89A7C9" w:rsidR="009973C7" w:rsidRDefault="009973C7" w:rsidP="00D01A72">
      <w:pPr>
        <w:jc w:val="both"/>
        <w:rPr>
          <w:sz w:val="24"/>
        </w:rPr>
      </w:pPr>
      <w:r w:rsidRPr="00D01A72">
        <w:rPr>
          <w:sz w:val="24"/>
        </w:rPr>
        <w:t>Dette notatet beskriver risiko og sårbarhetsanalyse (ROS) av vannforsyning og gir eksempler på hendelser som er aktuelle. Hovedfokus er på identifisering av hendelser knyttet til vannforsyning som dekker hele vannverdikjeden, fra kilde til forbruker. Rammeverket for ROS-analyse som er beskrevet er basert på Mattilsynets veiledning fra 2006. Pga av økt fokus på digitale sårbarheter innen Vannbransjen har en i prosjektet utarbeidet en rapport</w:t>
      </w:r>
      <w:r w:rsidR="005606F2" w:rsidRPr="00D01A72">
        <w:rPr>
          <w:sz w:val="24"/>
        </w:rPr>
        <w:t>-</w:t>
      </w:r>
      <w:r w:rsidRPr="00D01A72">
        <w:rPr>
          <w:sz w:val="24"/>
        </w:rPr>
        <w:t>mal for ROS</w:t>
      </w:r>
      <w:r w:rsidR="005606F2" w:rsidRPr="00D01A72">
        <w:rPr>
          <w:sz w:val="24"/>
        </w:rPr>
        <w:t>-</w:t>
      </w:r>
      <w:r w:rsidRPr="00D01A72">
        <w:rPr>
          <w:sz w:val="24"/>
        </w:rPr>
        <w:t xml:space="preserve">analyse </w:t>
      </w:r>
      <w:r w:rsidR="005606F2" w:rsidRPr="00D01A72">
        <w:rPr>
          <w:sz w:val="24"/>
        </w:rPr>
        <w:t xml:space="preserve">med hensyn til </w:t>
      </w:r>
      <w:r w:rsidRPr="00D01A72">
        <w:rPr>
          <w:sz w:val="24"/>
        </w:rPr>
        <w:t xml:space="preserve">IKT-sikkerhet. </w:t>
      </w:r>
    </w:p>
    <w:p w14:paraId="4C2B2079" w14:textId="77777777" w:rsidR="00D01A72" w:rsidRPr="00D01A72" w:rsidRDefault="00D01A72" w:rsidP="00D01A72">
      <w:pPr>
        <w:jc w:val="both"/>
        <w:rPr>
          <w:sz w:val="24"/>
        </w:rPr>
      </w:pPr>
    </w:p>
    <w:p w14:paraId="618CD1D8" w14:textId="1973FB6B" w:rsidR="009973C7" w:rsidRPr="009973C7" w:rsidRDefault="009973C7" w:rsidP="009973C7">
      <w:pPr>
        <w:rPr>
          <w:b/>
          <w:sz w:val="32"/>
        </w:rPr>
      </w:pPr>
      <w:r>
        <w:rPr>
          <w:b/>
          <w:sz w:val="32"/>
        </w:rPr>
        <w:t>Innholdsfortegnelse</w:t>
      </w:r>
    </w:p>
    <w:sdt>
      <w:sdtPr>
        <w:rPr>
          <w:rFonts w:asciiTheme="minorHAnsi" w:eastAsiaTheme="minorHAnsi" w:hAnsiTheme="minorHAnsi" w:cstheme="minorBidi"/>
          <w:color w:val="auto"/>
          <w:sz w:val="22"/>
          <w:szCs w:val="22"/>
          <w:lang w:val="nb-NO"/>
        </w:rPr>
        <w:id w:val="-857726847"/>
        <w:docPartObj>
          <w:docPartGallery w:val="Table of Contents"/>
          <w:docPartUnique/>
        </w:docPartObj>
      </w:sdtPr>
      <w:sdtEndPr>
        <w:rPr>
          <w:b/>
          <w:bCs/>
          <w:noProof/>
        </w:rPr>
      </w:sdtEndPr>
      <w:sdtContent>
        <w:p w14:paraId="53757B4E" w14:textId="197AF216" w:rsidR="009973C7" w:rsidRDefault="009973C7">
          <w:pPr>
            <w:pStyle w:val="TOCHeading"/>
          </w:pPr>
        </w:p>
        <w:p w14:paraId="500F201A" w14:textId="77777777" w:rsidR="00DC699D" w:rsidRDefault="009973C7">
          <w:pPr>
            <w:pStyle w:val="TOC1"/>
            <w:tabs>
              <w:tab w:val="right" w:leader="dot" w:pos="9062"/>
            </w:tabs>
            <w:rPr>
              <w:rFonts w:eastAsiaTheme="minorEastAsia"/>
              <w:noProof/>
              <w:lang w:val="en-US"/>
            </w:rPr>
          </w:pPr>
          <w:r>
            <w:fldChar w:fldCharType="begin"/>
          </w:r>
          <w:r>
            <w:instrText xml:space="preserve"> TOC \o "1-3" \h \z \u </w:instrText>
          </w:r>
          <w:r>
            <w:fldChar w:fldCharType="separate"/>
          </w:r>
          <w:hyperlink w:anchor="_Toc442299935" w:history="1">
            <w:r w:rsidR="00DC699D" w:rsidRPr="00EC7CC5">
              <w:rPr>
                <w:rStyle w:val="Hyperlink"/>
                <w:noProof/>
              </w:rPr>
              <w:t>Mål om å etablere mer robuste vann og avløpssystemer</w:t>
            </w:r>
            <w:r w:rsidR="00DC699D">
              <w:rPr>
                <w:noProof/>
                <w:webHidden/>
              </w:rPr>
              <w:tab/>
            </w:r>
            <w:r w:rsidR="00DC699D">
              <w:rPr>
                <w:noProof/>
                <w:webHidden/>
              </w:rPr>
              <w:fldChar w:fldCharType="begin"/>
            </w:r>
            <w:r w:rsidR="00DC699D">
              <w:rPr>
                <w:noProof/>
                <w:webHidden/>
              </w:rPr>
              <w:instrText xml:space="preserve"> PAGEREF _Toc442299935 \h </w:instrText>
            </w:r>
            <w:r w:rsidR="00DC699D">
              <w:rPr>
                <w:noProof/>
                <w:webHidden/>
              </w:rPr>
            </w:r>
            <w:r w:rsidR="00DC699D">
              <w:rPr>
                <w:noProof/>
                <w:webHidden/>
              </w:rPr>
              <w:fldChar w:fldCharType="separate"/>
            </w:r>
            <w:r w:rsidR="00DC699D">
              <w:rPr>
                <w:noProof/>
                <w:webHidden/>
              </w:rPr>
              <w:t>2</w:t>
            </w:r>
            <w:r w:rsidR="00DC699D">
              <w:rPr>
                <w:noProof/>
                <w:webHidden/>
              </w:rPr>
              <w:fldChar w:fldCharType="end"/>
            </w:r>
          </w:hyperlink>
        </w:p>
        <w:p w14:paraId="6F4F6E6B" w14:textId="77777777" w:rsidR="00DC699D" w:rsidRDefault="005F3DAA">
          <w:pPr>
            <w:pStyle w:val="TOC1"/>
            <w:tabs>
              <w:tab w:val="right" w:leader="dot" w:pos="9062"/>
            </w:tabs>
            <w:rPr>
              <w:rFonts w:eastAsiaTheme="minorEastAsia"/>
              <w:noProof/>
              <w:lang w:val="en-US"/>
            </w:rPr>
          </w:pPr>
          <w:hyperlink w:anchor="_Toc442299936" w:history="1">
            <w:r w:rsidR="00DC699D" w:rsidRPr="00EC7CC5">
              <w:rPr>
                <w:rStyle w:val="Hyperlink"/>
                <w:noProof/>
              </w:rPr>
              <w:t>Introduksjon om risiko og sårbarhetsanalyse (ROS) i vannforsyning</w:t>
            </w:r>
            <w:r w:rsidR="00DC699D">
              <w:rPr>
                <w:noProof/>
                <w:webHidden/>
              </w:rPr>
              <w:tab/>
            </w:r>
            <w:r w:rsidR="00DC699D">
              <w:rPr>
                <w:noProof/>
                <w:webHidden/>
              </w:rPr>
              <w:fldChar w:fldCharType="begin"/>
            </w:r>
            <w:r w:rsidR="00DC699D">
              <w:rPr>
                <w:noProof/>
                <w:webHidden/>
              </w:rPr>
              <w:instrText xml:space="preserve"> PAGEREF _Toc442299936 \h </w:instrText>
            </w:r>
            <w:r w:rsidR="00DC699D">
              <w:rPr>
                <w:noProof/>
                <w:webHidden/>
              </w:rPr>
            </w:r>
            <w:r w:rsidR="00DC699D">
              <w:rPr>
                <w:noProof/>
                <w:webHidden/>
              </w:rPr>
              <w:fldChar w:fldCharType="separate"/>
            </w:r>
            <w:r w:rsidR="00DC699D">
              <w:rPr>
                <w:noProof/>
                <w:webHidden/>
              </w:rPr>
              <w:t>2</w:t>
            </w:r>
            <w:r w:rsidR="00DC699D">
              <w:rPr>
                <w:noProof/>
                <w:webHidden/>
              </w:rPr>
              <w:fldChar w:fldCharType="end"/>
            </w:r>
          </w:hyperlink>
        </w:p>
        <w:p w14:paraId="554BEB11" w14:textId="77777777" w:rsidR="00DC699D" w:rsidRDefault="005F3DAA">
          <w:pPr>
            <w:pStyle w:val="TOC1"/>
            <w:tabs>
              <w:tab w:val="right" w:leader="dot" w:pos="9062"/>
            </w:tabs>
            <w:rPr>
              <w:rFonts w:eastAsiaTheme="minorEastAsia"/>
              <w:noProof/>
              <w:lang w:val="en-US"/>
            </w:rPr>
          </w:pPr>
          <w:hyperlink w:anchor="_Toc442299937" w:history="1">
            <w:r w:rsidR="00DC699D" w:rsidRPr="00EC7CC5">
              <w:rPr>
                <w:rStyle w:val="Hyperlink"/>
                <w:noProof/>
              </w:rPr>
              <w:t>System for fastsettelse av sannsynlighet og konsekvens form uønskede hendelser</w:t>
            </w:r>
            <w:r w:rsidR="00DC699D">
              <w:rPr>
                <w:noProof/>
                <w:webHidden/>
              </w:rPr>
              <w:tab/>
            </w:r>
            <w:r w:rsidR="00DC699D">
              <w:rPr>
                <w:noProof/>
                <w:webHidden/>
              </w:rPr>
              <w:fldChar w:fldCharType="begin"/>
            </w:r>
            <w:r w:rsidR="00DC699D">
              <w:rPr>
                <w:noProof/>
                <w:webHidden/>
              </w:rPr>
              <w:instrText xml:space="preserve"> PAGEREF _Toc442299937 \h </w:instrText>
            </w:r>
            <w:r w:rsidR="00DC699D">
              <w:rPr>
                <w:noProof/>
                <w:webHidden/>
              </w:rPr>
            </w:r>
            <w:r w:rsidR="00DC699D">
              <w:rPr>
                <w:noProof/>
                <w:webHidden/>
              </w:rPr>
              <w:fldChar w:fldCharType="separate"/>
            </w:r>
            <w:r w:rsidR="00DC699D">
              <w:rPr>
                <w:noProof/>
                <w:webHidden/>
              </w:rPr>
              <w:t>6</w:t>
            </w:r>
            <w:r w:rsidR="00DC699D">
              <w:rPr>
                <w:noProof/>
                <w:webHidden/>
              </w:rPr>
              <w:fldChar w:fldCharType="end"/>
            </w:r>
          </w:hyperlink>
        </w:p>
        <w:p w14:paraId="5C85D01A" w14:textId="77777777" w:rsidR="00DC699D" w:rsidRDefault="005F3DAA">
          <w:pPr>
            <w:pStyle w:val="TOC1"/>
            <w:tabs>
              <w:tab w:val="right" w:leader="dot" w:pos="9062"/>
            </w:tabs>
            <w:rPr>
              <w:rFonts w:eastAsiaTheme="minorEastAsia"/>
              <w:noProof/>
              <w:lang w:val="en-US"/>
            </w:rPr>
          </w:pPr>
          <w:hyperlink w:anchor="_Toc442299938" w:history="1">
            <w:r w:rsidR="00DC699D" w:rsidRPr="00EC7CC5">
              <w:rPr>
                <w:rStyle w:val="Hyperlink"/>
                <w:noProof/>
              </w:rPr>
              <w:t>Identifisering av uønskede hendelser</w:t>
            </w:r>
            <w:r w:rsidR="00DC699D">
              <w:rPr>
                <w:noProof/>
                <w:webHidden/>
              </w:rPr>
              <w:tab/>
            </w:r>
            <w:r w:rsidR="00DC699D">
              <w:rPr>
                <w:noProof/>
                <w:webHidden/>
              </w:rPr>
              <w:fldChar w:fldCharType="begin"/>
            </w:r>
            <w:r w:rsidR="00DC699D">
              <w:rPr>
                <w:noProof/>
                <w:webHidden/>
              </w:rPr>
              <w:instrText xml:space="preserve"> PAGEREF _Toc442299938 \h </w:instrText>
            </w:r>
            <w:r w:rsidR="00DC699D">
              <w:rPr>
                <w:noProof/>
                <w:webHidden/>
              </w:rPr>
            </w:r>
            <w:r w:rsidR="00DC699D">
              <w:rPr>
                <w:noProof/>
                <w:webHidden/>
              </w:rPr>
              <w:fldChar w:fldCharType="separate"/>
            </w:r>
            <w:r w:rsidR="00DC699D">
              <w:rPr>
                <w:noProof/>
                <w:webHidden/>
              </w:rPr>
              <w:t>8</w:t>
            </w:r>
            <w:r w:rsidR="00DC699D">
              <w:rPr>
                <w:noProof/>
                <w:webHidden/>
              </w:rPr>
              <w:fldChar w:fldCharType="end"/>
            </w:r>
          </w:hyperlink>
        </w:p>
        <w:p w14:paraId="148D68FD" w14:textId="77777777" w:rsidR="00DC699D" w:rsidRDefault="005F3DAA">
          <w:pPr>
            <w:pStyle w:val="TOC2"/>
            <w:tabs>
              <w:tab w:val="right" w:leader="dot" w:pos="9062"/>
            </w:tabs>
            <w:rPr>
              <w:rFonts w:eastAsiaTheme="minorEastAsia"/>
              <w:noProof/>
              <w:lang w:val="en-US"/>
            </w:rPr>
          </w:pPr>
          <w:hyperlink w:anchor="_Toc442299939" w:history="1">
            <w:r w:rsidR="00DC699D" w:rsidRPr="00EC7CC5">
              <w:rPr>
                <w:rStyle w:val="Hyperlink"/>
                <w:noProof/>
              </w:rPr>
              <w:t>Eksempel på hendelser i nedbørfelt/vannkilde</w:t>
            </w:r>
            <w:r w:rsidR="00DC699D">
              <w:rPr>
                <w:noProof/>
                <w:webHidden/>
              </w:rPr>
              <w:tab/>
            </w:r>
            <w:r w:rsidR="00DC699D">
              <w:rPr>
                <w:noProof/>
                <w:webHidden/>
              </w:rPr>
              <w:fldChar w:fldCharType="begin"/>
            </w:r>
            <w:r w:rsidR="00DC699D">
              <w:rPr>
                <w:noProof/>
                <w:webHidden/>
              </w:rPr>
              <w:instrText xml:space="preserve"> PAGEREF _Toc442299939 \h </w:instrText>
            </w:r>
            <w:r w:rsidR="00DC699D">
              <w:rPr>
                <w:noProof/>
                <w:webHidden/>
              </w:rPr>
            </w:r>
            <w:r w:rsidR="00DC699D">
              <w:rPr>
                <w:noProof/>
                <w:webHidden/>
              </w:rPr>
              <w:fldChar w:fldCharType="separate"/>
            </w:r>
            <w:r w:rsidR="00DC699D">
              <w:rPr>
                <w:noProof/>
                <w:webHidden/>
              </w:rPr>
              <w:t>8</w:t>
            </w:r>
            <w:r w:rsidR="00DC699D">
              <w:rPr>
                <w:noProof/>
                <w:webHidden/>
              </w:rPr>
              <w:fldChar w:fldCharType="end"/>
            </w:r>
          </w:hyperlink>
        </w:p>
        <w:p w14:paraId="100168D6" w14:textId="77777777" w:rsidR="00DC699D" w:rsidRDefault="005F3DAA">
          <w:pPr>
            <w:pStyle w:val="TOC2"/>
            <w:tabs>
              <w:tab w:val="right" w:leader="dot" w:pos="9062"/>
            </w:tabs>
            <w:rPr>
              <w:rFonts w:eastAsiaTheme="minorEastAsia"/>
              <w:noProof/>
              <w:lang w:val="en-US"/>
            </w:rPr>
          </w:pPr>
          <w:hyperlink w:anchor="_Toc442299940" w:history="1">
            <w:r w:rsidR="00DC699D" w:rsidRPr="00EC7CC5">
              <w:rPr>
                <w:rStyle w:val="Hyperlink"/>
                <w:noProof/>
              </w:rPr>
              <w:t>Eksempler på hendelser i vannbehandling</w:t>
            </w:r>
            <w:r w:rsidR="00DC699D">
              <w:rPr>
                <w:noProof/>
                <w:webHidden/>
              </w:rPr>
              <w:tab/>
            </w:r>
            <w:r w:rsidR="00DC699D">
              <w:rPr>
                <w:noProof/>
                <w:webHidden/>
              </w:rPr>
              <w:fldChar w:fldCharType="begin"/>
            </w:r>
            <w:r w:rsidR="00DC699D">
              <w:rPr>
                <w:noProof/>
                <w:webHidden/>
              </w:rPr>
              <w:instrText xml:space="preserve"> PAGEREF _Toc442299940 \h </w:instrText>
            </w:r>
            <w:r w:rsidR="00DC699D">
              <w:rPr>
                <w:noProof/>
                <w:webHidden/>
              </w:rPr>
            </w:r>
            <w:r w:rsidR="00DC699D">
              <w:rPr>
                <w:noProof/>
                <w:webHidden/>
              </w:rPr>
              <w:fldChar w:fldCharType="separate"/>
            </w:r>
            <w:r w:rsidR="00DC699D">
              <w:rPr>
                <w:noProof/>
                <w:webHidden/>
              </w:rPr>
              <w:t>10</w:t>
            </w:r>
            <w:r w:rsidR="00DC699D">
              <w:rPr>
                <w:noProof/>
                <w:webHidden/>
              </w:rPr>
              <w:fldChar w:fldCharType="end"/>
            </w:r>
          </w:hyperlink>
        </w:p>
        <w:p w14:paraId="211F92B1" w14:textId="77777777" w:rsidR="00DC699D" w:rsidRDefault="005F3DAA">
          <w:pPr>
            <w:pStyle w:val="TOC3"/>
            <w:tabs>
              <w:tab w:val="right" w:leader="dot" w:pos="9062"/>
            </w:tabs>
            <w:rPr>
              <w:rFonts w:eastAsiaTheme="minorEastAsia"/>
              <w:noProof/>
              <w:lang w:val="en-US"/>
            </w:rPr>
          </w:pPr>
          <w:hyperlink w:anchor="_Toc442299941" w:history="1">
            <w:r w:rsidR="00DC699D" w:rsidRPr="00EC7CC5">
              <w:rPr>
                <w:rStyle w:val="Hyperlink"/>
                <w:noProof/>
              </w:rPr>
              <w:t>Eksempler på svikt i koaguleringsbarrierer</w:t>
            </w:r>
            <w:r w:rsidR="00DC699D">
              <w:rPr>
                <w:noProof/>
                <w:webHidden/>
              </w:rPr>
              <w:tab/>
            </w:r>
            <w:r w:rsidR="00DC699D">
              <w:rPr>
                <w:noProof/>
                <w:webHidden/>
              </w:rPr>
              <w:fldChar w:fldCharType="begin"/>
            </w:r>
            <w:r w:rsidR="00DC699D">
              <w:rPr>
                <w:noProof/>
                <w:webHidden/>
              </w:rPr>
              <w:instrText xml:space="preserve"> PAGEREF _Toc442299941 \h </w:instrText>
            </w:r>
            <w:r w:rsidR="00DC699D">
              <w:rPr>
                <w:noProof/>
                <w:webHidden/>
              </w:rPr>
            </w:r>
            <w:r w:rsidR="00DC699D">
              <w:rPr>
                <w:noProof/>
                <w:webHidden/>
              </w:rPr>
              <w:fldChar w:fldCharType="separate"/>
            </w:r>
            <w:r w:rsidR="00DC699D">
              <w:rPr>
                <w:noProof/>
                <w:webHidden/>
              </w:rPr>
              <w:t>10</w:t>
            </w:r>
            <w:r w:rsidR="00DC699D">
              <w:rPr>
                <w:noProof/>
                <w:webHidden/>
              </w:rPr>
              <w:fldChar w:fldCharType="end"/>
            </w:r>
          </w:hyperlink>
        </w:p>
        <w:p w14:paraId="534B4593" w14:textId="77777777" w:rsidR="00DC699D" w:rsidRDefault="005F3DAA">
          <w:pPr>
            <w:pStyle w:val="TOC3"/>
            <w:tabs>
              <w:tab w:val="right" w:leader="dot" w:pos="9062"/>
            </w:tabs>
            <w:rPr>
              <w:rFonts w:eastAsiaTheme="minorEastAsia"/>
              <w:noProof/>
              <w:lang w:val="en-US"/>
            </w:rPr>
          </w:pPr>
          <w:hyperlink w:anchor="_Toc442299942" w:history="1">
            <w:r w:rsidR="00DC699D" w:rsidRPr="00EC7CC5">
              <w:rPr>
                <w:rStyle w:val="Hyperlink"/>
                <w:noProof/>
              </w:rPr>
              <w:t>Eksempler på svikt i desinfeksjonsbarriere</w:t>
            </w:r>
            <w:r w:rsidR="00DC699D">
              <w:rPr>
                <w:noProof/>
                <w:webHidden/>
              </w:rPr>
              <w:tab/>
            </w:r>
            <w:r w:rsidR="00DC699D">
              <w:rPr>
                <w:noProof/>
                <w:webHidden/>
              </w:rPr>
              <w:fldChar w:fldCharType="begin"/>
            </w:r>
            <w:r w:rsidR="00DC699D">
              <w:rPr>
                <w:noProof/>
                <w:webHidden/>
              </w:rPr>
              <w:instrText xml:space="preserve"> PAGEREF _Toc442299942 \h </w:instrText>
            </w:r>
            <w:r w:rsidR="00DC699D">
              <w:rPr>
                <w:noProof/>
                <w:webHidden/>
              </w:rPr>
            </w:r>
            <w:r w:rsidR="00DC699D">
              <w:rPr>
                <w:noProof/>
                <w:webHidden/>
              </w:rPr>
              <w:fldChar w:fldCharType="separate"/>
            </w:r>
            <w:r w:rsidR="00DC699D">
              <w:rPr>
                <w:noProof/>
                <w:webHidden/>
              </w:rPr>
              <w:t>10</w:t>
            </w:r>
            <w:r w:rsidR="00DC699D">
              <w:rPr>
                <w:noProof/>
                <w:webHidden/>
              </w:rPr>
              <w:fldChar w:fldCharType="end"/>
            </w:r>
          </w:hyperlink>
        </w:p>
        <w:p w14:paraId="09B8F7DD" w14:textId="77777777" w:rsidR="00DC699D" w:rsidRDefault="005F3DAA">
          <w:pPr>
            <w:pStyle w:val="TOC2"/>
            <w:tabs>
              <w:tab w:val="right" w:leader="dot" w:pos="9062"/>
            </w:tabs>
            <w:rPr>
              <w:rFonts w:eastAsiaTheme="minorEastAsia"/>
              <w:noProof/>
              <w:lang w:val="en-US"/>
            </w:rPr>
          </w:pPr>
          <w:hyperlink w:anchor="_Toc442299943" w:history="1">
            <w:r w:rsidR="00DC699D" w:rsidRPr="00EC7CC5">
              <w:rPr>
                <w:rStyle w:val="Hyperlink"/>
                <w:noProof/>
              </w:rPr>
              <w:t>Eksempler på svikt innen vanndistribusjon</w:t>
            </w:r>
            <w:r w:rsidR="00DC699D">
              <w:rPr>
                <w:noProof/>
                <w:webHidden/>
              </w:rPr>
              <w:tab/>
            </w:r>
            <w:r w:rsidR="00DC699D">
              <w:rPr>
                <w:noProof/>
                <w:webHidden/>
              </w:rPr>
              <w:fldChar w:fldCharType="begin"/>
            </w:r>
            <w:r w:rsidR="00DC699D">
              <w:rPr>
                <w:noProof/>
                <w:webHidden/>
              </w:rPr>
              <w:instrText xml:space="preserve"> PAGEREF _Toc442299943 \h </w:instrText>
            </w:r>
            <w:r w:rsidR="00DC699D">
              <w:rPr>
                <w:noProof/>
                <w:webHidden/>
              </w:rPr>
            </w:r>
            <w:r w:rsidR="00DC699D">
              <w:rPr>
                <w:noProof/>
                <w:webHidden/>
              </w:rPr>
              <w:fldChar w:fldCharType="separate"/>
            </w:r>
            <w:r w:rsidR="00DC699D">
              <w:rPr>
                <w:noProof/>
                <w:webHidden/>
              </w:rPr>
              <w:t>13</w:t>
            </w:r>
            <w:r w:rsidR="00DC699D">
              <w:rPr>
                <w:noProof/>
                <w:webHidden/>
              </w:rPr>
              <w:fldChar w:fldCharType="end"/>
            </w:r>
          </w:hyperlink>
        </w:p>
        <w:p w14:paraId="18099C80" w14:textId="77777777" w:rsidR="00DC699D" w:rsidRDefault="005F3DAA">
          <w:pPr>
            <w:pStyle w:val="TOC1"/>
            <w:tabs>
              <w:tab w:val="right" w:leader="dot" w:pos="9062"/>
            </w:tabs>
            <w:rPr>
              <w:rFonts w:eastAsiaTheme="minorEastAsia"/>
              <w:noProof/>
              <w:lang w:val="en-US"/>
            </w:rPr>
          </w:pPr>
          <w:hyperlink w:anchor="_Toc442299944" w:history="1">
            <w:r w:rsidR="00DC699D" w:rsidRPr="00EC7CC5">
              <w:rPr>
                <w:rStyle w:val="Hyperlink"/>
                <w:noProof/>
              </w:rPr>
              <w:t>Ekstra fokus på digitale sårbarheter</w:t>
            </w:r>
            <w:r w:rsidR="00DC699D">
              <w:rPr>
                <w:noProof/>
                <w:webHidden/>
              </w:rPr>
              <w:tab/>
            </w:r>
            <w:r w:rsidR="00DC699D">
              <w:rPr>
                <w:noProof/>
                <w:webHidden/>
              </w:rPr>
              <w:fldChar w:fldCharType="begin"/>
            </w:r>
            <w:r w:rsidR="00DC699D">
              <w:rPr>
                <w:noProof/>
                <w:webHidden/>
              </w:rPr>
              <w:instrText xml:space="preserve"> PAGEREF _Toc442299944 \h </w:instrText>
            </w:r>
            <w:r w:rsidR="00DC699D">
              <w:rPr>
                <w:noProof/>
                <w:webHidden/>
              </w:rPr>
            </w:r>
            <w:r w:rsidR="00DC699D">
              <w:rPr>
                <w:noProof/>
                <w:webHidden/>
              </w:rPr>
              <w:fldChar w:fldCharType="separate"/>
            </w:r>
            <w:r w:rsidR="00DC699D">
              <w:rPr>
                <w:noProof/>
                <w:webHidden/>
              </w:rPr>
              <w:t>15</w:t>
            </w:r>
            <w:r w:rsidR="00DC699D">
              <w:rPr>
                <w:noProof/>
                <w:webHidden/>
              </w:rPr>
              <w:fldChar w:fldCharType="end"/>
            </w:r>
          </w:hyperlink>
        </w:p>
        <w:p w14:paraId="5D084C6E" w14:textId="745D48F9" w:rsidR="009973C7" w:rsidRDefault="009973C7">
          <w:r>
            <w:rPr>
              <w:b/>
              <w:bCs/>
              <w:noProof/>
            </w:rPr>
            <w:fldChar w:fldCharType="end"/>
          </w:r>
        </w:p>
      </w:sdtContent>
    </w:sdt>
    <w:p w14:paraId="210F4312" w14:textId="77777777" w:rsidR="009973C7" w:rsidRPr="009973C7" w:rsidRDefault="009973C7" w:rsidP="009973C7"/>
    <w:p w14:paraId="3B1C638C" w14:textId="77777777" w:rsidR="001657AD" w:rsidRDefault="001657AD">
      <w:pPr>
        <w:rPr>
          <w:rFonts w:asciiTheme="majorHAnsi" w:eastAsiaTheme="majorEastAsia" w:hAnsiTheme="majorHAnsi" w:cstheme="majorBidi"/>
          <w:b/>
          <w:bCs/>
          <w:color w:val="2E74B5" w:themeColor="accent1" w:themeShade="BF"/>
          <w:sz w:val="28"/>
          <w:szCs w:val="28"/>
        </w:rPr>
      </w:pPr>
      <w:r>
        <w:br w:type="page"/>
      </w:r>
    </w:p>
    <w:p w14:paraId="6EB7325F" w14:textId="77777777" w:rsidR="001657AD" w:rsidRDefault="001657AD" w:rsidP="001657AD">
      <w:pPr>
        <w:pStyle w:val="Heading1"/>
      </w:pPr>
      <w:bookmarkStart w:id="1" w:name="_Toc442299935"/>
      <w:r>
        <w:lastRenderedPageBreak/>
        <w:t>Mål om å etablere mer robuste vann og avløpssystemer</w:t>
      </w:r>
      <w:bookmarkEnd w:id="1"/>
    </w:p>
    <w:p w14:paraId="05145EB3" w14:textId="77777777" w:rsidR="001657AD" w:rsidRDefault="001657AD" w:rsidP="001657AD">
      <w:pPr>
        <w:jc w:val="both"/>
      </w:pPr>
      <w:r>
        <w:t xml:space="preserve">I etterkant av en ROS-analyse og når det nødvendige risikoreduserende tiltak er gjennomført er målet at vann- og avløpssystemene i etterkant av ROS- analysen og når eventuelle tiltak er gjennomført, skal fremstå som et robust system som klarer å opprettholde sin funksjon selv om det utsettes for eventuelle hendelser. Analysene av systemene som skal analyseres må inkludere både en </w:t>
      </w:r>
      <w:r w:rsidRPr="006B1591">
        <w:t>analyse av dagens status men også hvorvidt dagens vann</w:t>
      </w:r>
      <w:r>
        <w:t xml:space="preserve">forsyningssystem </w:t>
      </w:r>
      <w:r w:rsidRPr="006B1591">
        <w:t>er robust og fleksibelt nok til å håndtere event</w:t>
      </w:r>
      <w:r>
        <w:t>u</w:t>
      </w:r>
      <w:r w:rsidRPr="006B1591">
        <w:t>elle fremtidige endringer</w:t>
      </w:r>
      <w:r>
        <w:t xml:space="preserve"> og hendelser slik som konsekvensene av klimaendringer, befolkningsvekst, forfall i ledningsnettet etc. </w:t>
      </w:r>
    </w:p>
    <w:p w14:paraId="7981B9FD" w14:textId="77777777" w:rsidR="001657AD" w:rsidRDefault="001657AD" w:rsidP="001657AD">
      <w:pPr>
        <w:jc w:val="both"/>
        <w:rPr>
          <w:b/>
        </w:rPr>
      </w:pPr>
      <w:r>
        <w:t xml:space="preserve">Figuren under illustrerer et robust vannforsyningssystem og angir også mulige kriterier som kjennetegner er robust vannforsyningssystem. </w:t>
      </w:r>
    </w:p>
    <w:p w14:paraId="00C90B43" w14:textId="77777777" w:rsidR="001657AD" w:rsidRDefault="001657AD" w:rsidP="001657AD">
      <w:pPr>
        <w:autoSpaceDE w:val="0"/>
        <w:autoSpaceDN w:val="0"/>
        <w:adjustRightInd w:val="0"/>
        <w:spacing w:line="288" w:lineRule="auto"/>
        <w:jc w:val="both"/>
      </w:pPr>
      <w:r>
        <w:object w:dxaOrig="10564" w:dyaOrig="3215" w14:anchorId="2231E1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2.7pt;height:2in" o:ole="">
            <v:imagedata r:id="rId8" o:title=""/>
          </v:shape>
          <o:OLEObject Type="Embed" ProgID="Visio.Drawing.11" ShapeID="_x0000_i1025" DrawAspect="Content" ObjectID="_1534219375" r:id="rId9"/>
        </w:object>
      </w:r>
    </w:p>
    <w:p w14:paraId="3BC1AFA1" w14:textId="77777777" w:rsidR="001657AD" w:rsidRDefault="001657AD" w:rsidP="001657AD">
      <w:pPr>
        <w:pStyle w:val="Caption"/>
        <w:jc w:val="both"/>
        <w:rPr>
          <w:rFonts w:ascii="Times New Roman" w:hAnsi="Times New Roman"/>
          <w:color w:val="000000"/>
          <w:szCs w:val="24"/>
          <w:lang w:eastAsia="en-US"/>
        </w:rPr>
      </w:pPr>
      <w:r>
        <w:t xml:space="preserve">Figur </w:t>
      </w:r>
      <w:fldSimple w:instr=" SEQ Figur \* ARABIC ">
        <w:r>
          <w:rPr>
            <w:noProof/>
          </w:rPr>
          <w:t>1</w:t>
        </w:r>
      </w:fldSimple>
      <w:r>
        <w:t xml:space="preserve"> Illustrasjon av et robust vannforsyningssystem som klarer å håndtere både dagens og fremtidige hendelser</w:t>
      </w:r>
    </w:p>
    <w:p w14:paraId="107B865D" w14:textId="77777777" w:rsidR="001657AD" w:rsidRDefault="001657AD" w:rsidP="001657AD">
      <w:pPr>
        <w:rPr>
          <w:b/>
        </w:rPr>
      </w:pPr>
    </w:p>
    <w:p w14:paraId="6DDE58AD" w14:textId="2436A733" w:rsidR="001657AD" w:rsidRDefault="001657AD" w:rsidP="001657AD">
      <w:pPr>
        <w:rPr>
          <w:b/>
        </w:rPr>
      </w:pPr>
      <w:r>
        <w:rPr>
          <w:b/>
        </w:rPr>
        <w:t>Eksempler på hva som kjennetegner et robust vannforsyningssystem:</w:t>
      </w:r>
    </w:p>
    <w:p w14:paraId="05FCDC36" w14:textId="77777777" w:rsidR="001657AD" w:rsidRPr="00FB79AE" w:rsidRDefault="001657AD" w:rsidP="001657AD">
      <w:pPr>
        <w:spacing w:before="240" w:line="288" w:lineRule="auto"/>
        <w:jc w:val="both"/>
        <w:rPr>
          <w:b/>
        </w:rPr>
      </w:pPr>
      <w:r>
        <w:t xml:space="preserve">Eksempler på konkrete mål </w:t>
      </w:r>
      <w:r w:rsidRPr="009E7BF9">
        <w:t xml:space="preserve">knyttet til </w:t>
      </w:r>
      <w:r>
        <w:t xml:space="preserve">økt </w:t>
      </w:r>
      <w:r w:rsidRPr="009E7BF9">
        <w:t xml:space="preserve">sikkerhet for hele vannforsyningssystemet </w:t>
      </w:r>
      <w:r>
        <w:t>i en kommune:</w:t>
      </w:r>
    </w:p>
    <w:p w14:paraId="5098C4BB" w14:textId="77777777" w:rsidR="001657AD" w:rsidRDefault="001657AD" w:rsidP="001657AD">
      <w:pPr>
        <w:pStyle w:val="ListParagraph"/>
        <w:numPr>
          <w:ilvl w:val="0"/>
          <w:numId w:val="8"/>
        </w:numPr>
        <w:spacing w:after="0" w:line="288" w:lineRule="auto"/>
        <w:jc w:val="both"/>
      </w:pPr>
      <w:r>
        <w:t>Enhver vannkilde skal kunne være ute av drift i lang tid uten at det påvirker forsyningssikkerheten</w:t>
      </w:r>
    </w:p>
    <w:p w14:paraId="0FC00DDB" w14:textId="77777777" w:rsidR="001657AD" w:rsidRDefault="001657AD" w:rsidP="001657AD">
      <w:pPr>
        <w:pStyle w:val="ListParagraph"/>
        <w:numPr>
          <w:ilvl w:val="0"/>
          <w:numId w:val="8"/>
        </w:numPr>
        <w:spacing w:after="0" w:line="288" w:lineRule="auto"/>
        <w:jc w:val="both"/>
      </w:pPr>
      <w:r>
        <w:t>Ethvert vannbehandlingsanlegg skal kunne være ute av drift i lang tid og det skal fortsatt kunne levere et sikkert drikkevann som oppfyller Drikkevannsforskriftens krav om to hygieniske barrierer</w:t>
      </w:r>
    </w:p>
    <w:p w14:paraId="55E04ED1" w14:textId="77777777" w:rsidR="001657AD" w:rsidRDefault="001657AD" w:rsidP="001657AD">
      <w:pPr>
        <w:pStyle w:val="ListParagraph"/>
        <w:numPr>
          <w:ilvl w:val="0"/>
          <w:numId w:val="8"/>
        </w:numPr>
        <w:spacing w:after="0" w:line="288" w:lineRule="auto"/>
        <w:jc w:val="both"/>
      </w:pPr>
      <w:r>
        <w:t>Ethvert element av stamledningsnettet skal kunne være ute at drift i lang tid uten at dette påvirker forsyningssikkerheten</w:t>
      </w:r>
    </w:p>
    <w:p w14:paraId="193C93FA" w14:textId="77777777" w:rsidR="001657AD" w:rsidRDefault="001657AD" w:rsidP="001657AD">
      <w:pPr>
        <w:pStyle w:val="ListParagraph"/>
        <w:numPr>
          <w:ilvl w:val="0"/>
          <w:numId w:val="8"/>
        </w:numPr>
        <w:spacing w:after="0" w:line="288" w:lineRule="auto"/>
        <w:jc w:val="both"/>
      </w:pPr>
      <w:r>
        <w:t>I alle driftssituasjoner skal distribuert vann oppfylle alle Drikkevannsforskriftens krav</w:t>
      </w:r>
    </w:p>
    <w:p w14:paraId="44058E73" w14:textId="77777777" w:rsidR="001657AD" w:rsidRDefault="001657AD" w:rsidP="001657AD">
      <w:pPr>
        <w:pStyle w:val="ListParagraph"/>
        <w:numPr>
          <w:ilvl w:val="0"/>
          <w:numId w:val="8"/>
        </w:numPr>
        <w:spacing w:after="0" w:line="288" w:lineRule="auto"/>
        <w:jc w:val="both"/>
      </w:pPr>
      <w:r>
        <w:t xml:space="preserve">Alle trykksoner skal ha minimum 2-sidig forsyning </w:t>
      </w:r>
    </w:p>
    <w:p w14:paraId="3FA89D97" w14:textId="15E9B914" w:rsidR="006D6D2D" w:rsidRDefault="001657AD" w:rsidP="006D6D2D">
      <w:pPr>
        <w:pStyle w:val="Heading1"/>
      </w:pPr>
      <w:bookmarkStart w:id="2" w:name="_Toc442299936"/>
      <w:r>
        <w:t xml:space="preserve">Introduksjon om </w:t>
      </w:r>
      <w:r w:rsidR="005606F2">
        <w:t>r</w:t>
      </w:r>
      <w:r w:rsidR="006D6D2D">
        <w:t>isiko og sårbarhetsanalyse (ROS)</w:t>
      </w:r>
      <w:r>
        <w:t xml:space="preserve"> i vannforsyning</w:t>
      </w:r>
      <w:bookmarkEnd w:id="2"/>
    </w:p>
    <w:p w14:paraId="7BF1DA7E" w14:textId="77777777" w:rsidR="001657AD" w:rsidRDefault="006D6D2D" w:rsidP="001657AD">
      <w:pPr>
        <w:jc w:val="both"/>
        <w:rPr>
          <w:rFonts w:ascii="Calibri" w:hAnsi="Calibri"/>
          <w:sz w:val="24"/>
        </w:rPr>
      </w:pPr>
      <w:r w:rsidRPr="00816AC1">
        <w:rPr>
          <w:rFonts w:ascii="Calibri" w:hAnsi="Calibri"/>
          <w:sz w:val="24"/>
        </w:rPr>
        <w:t xml:space="preserve">ROS og beredskapsarbeid i kommunale vannverk er nedfelt i forskrift om krav til beredskapsplanlegging og beredskapsarbeid mv. etter lov om helsemessig og sosial </w:t>
      </w:r>
      <w:r w:rsidRPr="00816AC1">
        <w:rPr>
          <w:rFonts w:ascii="Calibri" w:hAnsi="Calibri"/>
          <w:sz w:val="24"/>
        </w:rPr>
        <w:lastRenderedPageBreak/>
        <w:t xml:space="preserve">beredskap. I tillegg vil kommunale vannverk bli berørt av forskrift om kommunal beredskapsplikt, som legger føringer for gjennomføring av helhetlige overordnede risiko- og sårbarhetsanalyser for kommunene. Forskriftene krever at analysene blant annet skal inneholde vurderinger av ulike hendelsers konsekvenser for kritisk infrastruktur og samfunnskritiske funksjoner. Dette innebærer å se på hvordan sammenfallende hendelser påvirker hverandre. </w:t>
      </w:r>
    </w:p>
    <w:p w14:paraId="4D62BE00" w14:textId="085808E4" w:rsidR="006D6D2D" w:rsidRPr="001657AD" w:rsidRDefault="006D6D2D" w:rsidP="001657AD">
      <w:pPr>
        <w:jc w:val="both"/>
        <w:rPr>
          <w:rFonts w:ascii="Calibri" w:hAnsi="Calibri"/>
          <w:sz w:val="28"/>
        </w:rPr>
      </w:pPr>
      <w:r w:rsidRPr="001657AD">
        <w:rPr>
          <w:sz w:val="24"/>
        </w:rPr>
        <w:t xml:space="preserve">En illustrasjon av hele vann- og avløpssystemet fra kilde til resipient er vist i </w:t>
      </w:r>
      <w:r w:rsidRPr="001657AD">
        <w:rPr>
          <w:sz w:val="24"/>
        </w:rPr>
        <w:fldChar w:fldCharType="begin"/>
      </w:r>
      <w:r w:rsidRPr="001657AD">
        <w:rPr>
          <w:sz w:val="24"/>
        </w:rPr>
        <w:instrText xml:space="preserve"> REF _Ref285526386 \h  \* MERGEFORMAT </w:instrText>
      </w:r>
      <w:r w:rsidRPr="001657AD">
        <w:rPr>
          <w:sz w:val="24"/>
        </w:rPr>
      </w:r>
      <w:r w:rsidRPr="001657AD">
        <w:rPr>
          <w:sz w:val="24"/>
        </w:rPr>
        <w:fldChar w:fldCharType="separate"/>
      </w:r>
      <w:r w:rsidRPr="001657AD">
        <w:rPr>
          <w:sz w:val="24"/>
        </w:rPr>
        <w:t xml:space="preserve">Figur </w:t>
      </w:r>
      <w:r w:rsidRPr="001657AD">
        <w:rPr>
          <w:noProof/>
          <w:sz w:val="24"/>
        </w:rPr>
        <w:t>1</w:t>
      </w:r>
      <w:r w:rsidRPr="001657AD">
        <w:rPr>
          <w:sz w:val="24"/>
        </w:rPr>
        <w:fldChar w:fldCharType="end"/>
      </w:r>
      <w:r w:rsidRPr="001657AD">
        <w:rPr>
          <w:sz w:val="24"/>
        </w:rPr>
        <w:t xml:space="preserve">. Det er viktig at det foretas en helhetlig vurdering av systemet. Dersom det er vannforsyningssystemet som skal analyseres, er det viktig at en ser på hele verdikjeden fra kilde til bygning/tappekran. Tradisjonelt har de enkelte elementer i vannforsyningen blitt vurdert separat, men det er viktig å se helhetlig på analysene av de ulike objekter siden "alt henger sammen med alt". For eksempel vil hendelser i vannkilden i form av økt fargetall kunne ha konsekvenser for påfølgende vannbehandling og desinfeksjonstrinn, og vil også kunne påvirke biologisk vekst ute på ledningsnettet. Tilsvarende hvor hele VA-virksomheten skal analyseres. Det vil da være viktig å se på sammenhenger mellom avløpssiden og vannforsyningssystemet for å unngå vannbårne sykdommer. </w:t>
      </w:r>
    </w:p>
    <w:p w14:paraId="601FE5D5" w14:textId="77777777" w:rsidR="006D6D2D" w:rsidRDefault="006D6D2D" w:rsidP="006D6D2D">
      <w:pPr>
        <w:spacing w:line="288" w:lineRule="auto"/>
        <w:jc w:val="both"/>
      </w:pPr>
    </w:p>
    <w:p w14:paraId="42C1026E" w14:textId="77777777" w:rsidR="006D6D2D" w:rsidRPr="00EC56EC" w:rsidRDefault="006D6D2D" w:rsidP="006D6D2D">
      <w:pPr>
        <w:spacing w:line="288" w:lineRule="auto"/>
        <w:jc w:val="both"/>
      </w:pPr>
      <w:r>
        <w:rPr>
          <w:noProof/>
          <w:lang w:val="en-US"/>
        </w:rPr>
        <w:drawing>
          <wp:inline distT="0" distB="0" distL="0" distR="0" wp14:anchorId="4044AD1B" wp14:editId="25B1AB65">
            <wp:extent cx="5943600" cy="1114425"/>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943600" cy="1114425"/>
                    </a:xfrm>
                    <a:prstGeom prst="rect">
                      <a:avLst/>
                    </a:prstGeom>
                    <a:noFill/>
                    <a:ln w="9525">
                      <a:noFill/>
                      <a:miter lim="800000"/>
                      <a:headEnd/>
                      <a:tailEnd/>
                    </a:ln>
                  </pic:spPr>
                </pic:pic>
              </a:graphicData>
            </a:graphic>
          </wp:inline>
        </w:drawing>
      </w:r>
    </w:p>
    <w:p w14:paraId="01871EF1" w14:textId="77777777" w:rsidR="006D6D2D" w:rsidRPr="00EC56EC" w:rsidRDefault="006D6D2D" w:rsidP="006D6D2D">
      <w:pPr>
        <w:pStyle w:val="Caption"/>
        <w:spacing w:line="288" w:lineRule="auto"/>
      </w:pPr>
      <w:bookmarkStart w:id="3" w:name="_Ref285526386"/>
      <w:r>
        <w:t xml:space="preserve">Figur </w:t>
      </w:r>
      <w:fldSimple w:instr=" SEQ Figur \* ARABIC ">
        <w:r>
          <w:rPr>
            <w:noProof/>
          </w:rPr>
          <w:t>2</w:t>
        </w:r>
      </w:fldSimple>
      <w:bookmarkEnd w:id="3"/>
      <w:r>
        <w:t>. Illustrasjon av vann- og avløpssystemene fra kilde til resipient</w:t>
      </w:r>
    </w:p>
    <w:p w14:paraId="37BAA306" w14:textId="77777777" w:rsidR="006D6D2D" w:rsidRPr="00816AC1" w:rsidRDefault="006D6D2D" w:rsidP="006D6D2D">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rPr>
          <w:sz w:val="24"/>
        </w:rPr>
      </w:pPr>
      <w:r w:rsidRPr="00816AC1">
        <w:rPr>
          <w:sz w:val="24"/>
        </w:rPr>
        <w:t>I ROS-analysen søker en i hovedsak å gi svar på følgende spørsmål:</w:t>
      </w:r>
    </w:p>
    <w:p w14:paraId="0E0CDBC0" w14:textId="77777777" w:rsidR="006D6D2D" w:rsidRPr="00816AC1" w:rsidRDefault="006D6D2D" w:rsidP="006D6D2D">
      <w:pPr>
        <w:numPr>
          <w:ilvl w:val="0"/>
          <w:numId w:val="5"/>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7" w:lineRule="auto"/>
        <w:jc w:val="both"/>
        <w:rPr>
          <w:sz w:val="24"/>
        </w:rPr>
      </w:pPr>
      <w:r w:rsidRPr="00816AC1">
        <w:rPr>
          <w:i/>
          <w:sz w:val="24"/>
        </w:rPr>
        <w:t>Hva</w:t>
      </w:r>
      <w:r w:rsidRPr="00816AC1">
        <w:rPr>
          <w:sz w:val="24"/>
        </w:rPr>
        <w:t xml:space="preserve"> kan gå galt innen hele vann- og avløpssystemene?</w:t>
      </w:r>
    </w:p>
    <w:p w14:paraId="1E570707" w14:textId="77777777" w:rsidR="006D6D2D" w:rsidRPr="00816AC1" w:rsidRDefault="006D6D2D" w:rsidP="006D6D2D">
      <w:pPr>
        <w:numPr>
          <w:ilvl w:val="0"/>
          <w:numId w:val="5"/>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7" w:lineRule="auto"/>
        <w:jc w:val="both"/>
        <w:rPr>
          <w:sz w:val="24"/>
        </w:rPr>
      </w:pPr>
      <w:r w:rsidRPr="00816AC1">
        <w:rPr>
          <w:sz w:val="24"/>
        </w:rPr>
        <w:t xml:space="preserve">Hvilke </w:t>
      </w:r>
      <w:r w:rsidRPr="00816AC1">
        <w:rPr>
          <w:i/>
          <w:sz w:val="24"/>
        </w:rPr>
        <w:t xml:space="preserve">barrierer/tiltak </w:t>
      </w:r>
      <w:r w:rsidRPr="00816AC1">
        <w:rPr>
          <w:sz w:val="24"/>
        </w:rPr>
        <w:t xml:space="preserve">kan redusere </w:t>
      </w:r>
      <w:r w:rsidRPr="00816AC1">
        <w:rPr>
          <w:i/>
          <w:sz w:val="24"/>
        </w:rPr>
        <w:t>sannsynligheten</w:t>
      </w:r>
      <w:r w:rsidRPr="00816AC1">
        <w:rPr>
          <w:sz w:val="24"/>
        </w:rPr>
        <w:t xml:space="preserve"> for at noe går galt?</w:t>
      </w:r>
    </w:p>
    <w:p w14:paraId="0BB56CD1" w14:textId="77777777" w:rsidR="006D6D2D" w:rsidRPr="00816AC1" w:rsidRDefault="006D6D2D" w:rsidP="006D6D2D">
      <w:pPr>
        <w:numPr>
          <w:ilvl w:val="0"/>
          <w:numId w:val="5"/>
        </w:numPr>
        <w:tabs>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7" w:lineRule="auto"/>
        <w:jc w:val="both"/>
        <w:rPr>
          <w:sz w:val="24"/>
        </w:rPr>
      </w:pPr>
      <w:r w:rsidRPr="00816AC1">
        <w:rPr>
          <w:sz w:val="24"/>
        </w:rPr>
        <w:t xml:space="preserve">Hvilke </w:t>
      </w:r>
      <w:r w:rsidRPr="00816AC1">
        <w:rPr>
          <w:i/>
          <w:sz w:val="24"/>
        </w:rPr>
        <w:t>barrierer/tiltak</w:t>
      </w:r>
      <w:r w:rsidRPr="00816AC1">
        <w:rPr>
          <w:sz w:val="24"/>
        </w:rPr>
        <w:t xml:space="preserve"> kan redusere </w:t>
      </w:r>
      <w:r w:rsidRPr="00816AC1">
        <w:rPr>
          <w:i/>
          <w:sz w:val="24"/>
        </w:rPr>
        <w:t>konsekvensene</w:t>
      </w:r>
      <w:r w:rsidRPr="00816AC1">
        <w:rPr>
          <w:sz w:val="24"/>
        </w:rPr>
        <w:t xml:space="preserve"> hvis noe går galt?</w:t>
      </w:r>
    </w:p>
    <w:p w14:paraId="4A1C3629" w14:textId="77777777" w:rsidR="006D6D2D" w:rsidRPr="00816AC1" w:rsidRDefault="006D6D2D" w:rsidP="006D6D2D">
      <w:pPr>
        <w:keepNext/>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rPr>
          <w:sz w:val="24"/>
        </w:rPr>
      </w:pPr>
    </w:p>
    <w:p w14:paraId="3756B17D" w14:textId="0F386917" w:rsidR="006D6D2D" w:rsidRPr="00816AC1" w:rsidRDefault="006D6D2D" w:rsidP="006D6D2D">
      <w:pPr>
        <w:keepNext/>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rPr>
          <w:sz w:val="24"/>
        </w:rPr>
      </w:pPr>
      <w:r w:rsidRPr="00816AC1">
        <w:rPr>
          <w:sz w:val="24"/>
        </w:rPr>
        <w:t>Barrierene kan for vannforsyning illustreres som et system av hullete - og roterende – osteskiver som vist i figuren</w:t>
      </w:r>
      <w:r>
        <w:rPr>
          <w:sz w:val="24"/>
        </w:rPr>
        <w:t xml:space="preserve"> nedenfor</w:t>
      </w:r>
      <w:r w:rsidRPr="00816AC1">
        <w:rPr>
          <w:sz w:val="24"/>
        </w:rPr>
        <w:t>. Under et sett av uheldige omstendigheter kan trusler (f.eks. parasitter) trenge gjennom alle barrierene og forårsake sykdom. Begrepet ”hygieniske barrierer” som definert i Drikkevannsforskriften inngår også i barriere-begrepet som anvendes i figuren, men dette er ikke identiske begreper. Hygieniske barrierer kan imidlertid ses på som en del av det samlede begrepet ”barrierer” som er anvendt i figuren.</w:t>
      </w:r>
      <w:r w:rsidR="005606F2">
        <w:rPr>
          <w:sz w:val="24"/>
        </w:rPr>
        <w:t xml:space="preserve"> Gjeldende Drikkevannsforskrift har krav til minst 2 hygieniske barrierer, mens en i ny Drikkevannsforskrift har foreslått «tilstrekkelig antall hygieniske barrierer». </w:t>
      </w:r>
    </w:p>
    <w:p w14:paraId="13E3E626" w14:textId="77777777" w:rsidR="006D6D2D" w:rsidRDefault="006D6D2D" w:rsidP="006D6D2D">
      <w:pPr>
        <w:jc w:val="both"/>
      </w:pPr>
    </w:p>
    <w:p w14:paraId="2900FC33" w14:textId="77777777" w:rsidR="006D6D2D" w:rsidRDefault="006D6D2D" w:rsidP="006D6D2D">
      <w:pPr>
        <w:jc w:val="both"/>
      </w:pPr>
      <w:r w:rsidRPr="001E1292">
        <w:rPr>
          <w:noProof/>
          <w:lang w:val="en-US"/>
        </w:rPr>
        <w:drawing>
          <wp:inline distT="0" distB="0" distL="0" distR="0" wp14:anchorId="2C08F937" wp14:editId="6F4D7D4F">
            <wp:extent cx="5617845" cy="2516505"/>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7845" cy="2516505"/>
                    </a:xfrm>
                    <a:prstGeom prst="rect">
                      <a:avLst/>
                    </a:prstGeom>
                    <a:noFill/>
                    <a:ln>
                      <a:noFill/>
                    </a:ln>
                  </pic:spPr>
                </pic:pic>
              </a:graphicData>
            </a:graphic>
          </wp:inline>
        </w:drawing>
      </w:r>
    </w:p>
    <w:p w14:paraId="25D7F371" w14:textId="77777777" w:rsidR="006D6D2D" w:rsidRDefault="006D6D2D" w:rsidP="006D6D2D">
      <w:pPr>
        <w:pStyle w:val="Caption"/>
      </w:pPr>
      <w:r>
        <w:t xml:space="preserve">Figur </w:t>
      </w:r>
      <w:fldSimple w:instr=" SEQ Figur \* ARABIC ">
        <w:r>
          <w:rPr>
            <w:noProof/>
          </w:rPr>
          <w:t>3</w:t>
        </w:r>
      </w:fldSimple>
      <w:r>
        <w:t>. Illustrasjon av barrierer i kilde/nedbørfelt, vannbehandling og desinfeksjon</w:t>
      </w:r>
    </w:p>
    <w:p w14:paraId="68A2F164" w14:textId="77777777" w:rsidR="006D6D2D" w:rsidRDefault="006D6D2D" w:rsidP="006D6D2D">
      <w:pPr>
        <w:keepNext/>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pPr>
    </w:p>
    <w:p w14:paraId="4E138423" w14:textId="77777777" w:rsidR="006D6D2D" w:rsidRDefault="006D6D2D" w:rsidP="006D6D2D">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rPr>
          <w:sz w:val="24"/>
        </w:rPr>
      </w:pPr>
      <w:r w:rsidRPr="00816AC1">
        <w:rPr>
          <w:sz w:val="24"/>
        </w:rPr>
        <w:t xml:space="preserve">Innholdet i en risiko- og sårbarhetsanalyse er forsøkt illustrert i </w:t>
      </w:r>
      <w:r w:rsidRPr="00562477">
        <w:rPr>
          <w:sz w:val="24"/>
          <w:szCs w:val="24"/>
        </w:rPr>
        <w:fldChar w:fldCharType="begin"/>
      </w:r>
      <w:r w:rsidRPr="00562477">
        <w:rPr>
          <w:sz w:val="24"/>
          <w:szCs w:val="24"/>
        </w:rPr>
        <w:instrText xml:space="preserve"> REF _Ref433317695 \h </w:instrText>
      </w:r>
      <w:r>
        <w:rPr>
          <w:sz w:val="24"/>
          <w:szCs w:val="24"/>
        </w:rPr>
        <w:instrText xml:space="preserve"> \* MERGEFORMAT </w:instrText>
      </w:r>
      <w:r w:rsidRPr="00562477">
        <w:rPr>
          <w:sz w:val="24"/>
          <w:szCs w:val="24"/>
        </w:rPr>
      </w:r>
      <w:r w:rsidRPr="00562477">
        <w:rPr>
          <w:sz w:val="24"/>
          <w:szCs w:val="24"/>
        </w:rPr>
        <w:fldChar w:fldCharType="separate"/>
      </w:r>
      <w:r w:rsidRPr="00562477">
        <w:rPr>
          <w:sz w:val="24"/>
          <w:szCs w:val="24"/>
        </w:rPr>
        <w:t xml:space="preserve">Figur </w:t>
      </w:r>
      <w:r w:rsidRPr="00562477">
        <w:rPr>
          <w:noProof/>
          <w:sz w:val="24"/>
          <w:szCs w:val="24"/>
        </w:rPr>
        <w:t>5</w:t>
      </w:r>
      <w:r w:rsidRPr="00562477">
        <w:rPr>
          <w:sz w:val="24"/>
          <w:szCs w:val="24"/>
        </w:rPr>
        <w:fldChar w:fldCharType="end"/>
      </w:r>
      <w:r w:rsidRPr="00816AC1">
        <w:rPr>
          <w:sz w:val="24"/>
        </w:rPr>
        <w:t>. Man har ulike trusler som kan forårsake uønskede hendelse. En slik uønsket hendelse kan igjen ha uønskede konsekvenser. Ulike former for barrierer og sikkerhetsfunksjoner kan anvendes for å redusere sannsynligheten for at truslene forårsaker uønskede hendelser eller for å redusere konsekvensene av slike hendelser. Følgelig kan sikkerhets</w:t>
      </w:r>
      <w:r w:rsidRPr="00816AC1">
        <w:rPr>
          <w:sz w:val="24"/>
        </w:rPr>
        <w:softHyphen/>
        <w:t>barrierene enten redusere sannsynligheten (S) for den uønskede hendelsen (venstre siden av figuren) og/eller konsekvensene (K) av hendelsen (høyre siden av figuren).</w:t>
      </w:r>
    </w:p>
    <w:p w14:paraId="5DC10163" w14:textId="77777777" w:rsidR="006D6D2D" w:rsidRDefault="006D6D2D" w:rsidP="006D6D2D">
      <w:pPr>
        <w:rPr>
          <w:sz w:val="24"/>
        </w:rPr>
      </w:pPr>
      <w:r>
        <w:rPr>
          <w:sz w:val="24"/>
        </w:rPr>
        <w:br w:type="page"/>
      </w:r>
    </w:p>
    <w:p w14:paraId="505F2887" w14:textId="77777777" w:rsidR="006D6D2D" w:rsidRPr="00816AC1" w:rsidRDefault="006D6D2D" w:rsidP="006D6D2D">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rPr>
          <w:sz w:val="24"/>
        </w:rPr>
      </w:pPr>
    </w:p>
    <w:p w14:paraId="6DA29CA8" w14:textId="77777777" w:rsidR="006D6D2D" w:rsidRDefault="006D6D2D" w:rsidP="006D6D2D">
      <w:pPr>
        <w:keepNext/>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pPr>
    </w:p>
    <w:p w14:paraId="1260BC2A" w14:textId="77777777" w:rsidR="006D6D2D" w:rsidRDefault="006D6D2D" w:rsidP="006D6D2D">
      <w:pPr>
        <w:pStyle w:val="Caption"/>
      </w:pPr>
      <w:bookmarkStart w:id="4" w:name="_Ref433317695"/>
    </w:p>
    <w:p w14:paraId="241F56B9" w14:textId="77777777" w:rsidR="006D6D2D" w:rsidRDefault="006D6D2D" w:rsidP="006D6D2D">
      <w:pPr>
        <w:pStyle w:val="Caption"/>
      </w:pPr>
      <w:r>
        <w:rPr>
          <w:noProof/>
          <w:lang w:val="en-US" w:eastAsia="en-US"/>
        </w:rPr>
        <w:drawing>
          <wp:inline distT="0" distB="0" distL="0" distR="0" wp14:anchorId="0ACD20BC" wp14:editId="7A6D8876">
            <wp:extent cx="5791200" cy="22021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1200" cy="2202180"/>
                    </a:xfrm>
                    <a:prstGeom prst="rect">
                      <a:avLst/>
                    </a:prstGeom>
                    <a:noFill/>
                  </pic:spPr>
                </pic:pic>
              </a:graphicData>
            </a:graphic>
          </wp:inline>
        </w:drawing>
      </w:r>
      <w:r>
        <w:t xml:space="preserve">Figur </w:t>
      </w:r>
      <w:fldSimple w:instr=" SEQ Figur \* ARABIC ">
        <w:r>
          <w:rPr>
            <w:noProof/>
          </w:rPr>
          <w:t>4</w:t>
        </w:r>
      </w:fldSimple>
      <w:bookmarkEnd w:id="4"/>
      <w:r>
        <w:t xml:space="preserve"> </w:t>
      </w:r>
      <w:r w:rsidRPr="00E74CC3">
        <w:t>Illustrasjon av en risiko- og sårbarhetsanalyse med trusler (farer), uønskede hendelser, årsaks- og konsekvenskjeder, sikkerhetsbarrierer (Rausand og Utne 2009)</w:t>
      </w:r>
    </w:p>
    <w:p w14:paraId="614ECB46" w14:textId="77777777" w:rsidR="006D6D2D" w:rsidRPr="00816AC1" w:rsidRDefault="006D6D2D" w:rsidP="006D6D2D">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rPr>
          <w:sz w:val="24"/>
        </w:rPr>
      </w:pPr>
    </w:p>
    <w:p w14:paraId="26D934FE" w14:textId="77777777" w:rsidR="006D6D2D" w:rsidRPr="00816AC1" w:rsidRDefault="006D6D2D" w:rsidP="006D6D2D">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rPr>
          <w:sz w:val="24"/>
        </w:rPr>
      </w:pPr>
      <w:r w:rsidRPr="00816AC1">
        <w:rPr>
          <w:sz w:val="24"/>
        </w:rPr>
        <w:t>Eksempler på tiltak som kan iverksettes for å redusere sannsynligheten for - og konsekvensen av - uønskede hendelser kan være følgende:</w:t>
      </w:r>
    </w:p>
    <w:p w14:paraId="75D2B1B6" w14:textId="77777777" w:rsidR="006D6D2D" w:rsidRPr="00816AC1" w:rsidRDefault="006D6D2D" w:rsidP="006D6D2D">
      <w:pPr>
        <w:numPr>
          <w:ilvl w:val="0"/>
          <w:numId w:val="6"/>
        </w:numPr>
        <w:tabs>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8" w:lineRule="auto"/>
        <w:jc w:val="both"/>
        <w:rPr>
          <w:sz w:val="24"/>
        </w:rPr>
      </w:pPr>
      <w:r w:rsidRPr="00816AC1">
        <w:rPr>
          <w:b/>
          <w:sz w:val="24"/>
        </w:rPr>
        <w:t xml:space="preserve">Nye driftsrutiner og vedlikeholdsrutiner </w:t>
      </w:r>
      <w:r w:rsidRPr="00816AC1">
        <w:rPr>
          <w:sz w:val="24"/>
        </w:rPr>
        <w:t>(for eksempel</w:t>
      </w:r>
      <w:r w:rsidRPr="00816AC1">
        <w:rPr>
          <w:b/>
          <w:sz w:val="24"/>
        </w:rPr>
        <w:t xml:space="preserve"> </w:t>
      </w:r>
      <w:r w:rsidRPr="00816AC1">
        <w:rPr>
          <w:sz w:val="24"/>
        </w:rPr>
        <w:t>gjennomføre</w:t>
      </w:r>
      <w:r w:rsidRPr="00816AC1">
        <w:rPr>
          <w:b/>
          <w:sz w:val="24"/>
        </w:rPr>
        <w:t xml:space="preserve"> </w:t>
      </w:r>
      <w:r w:rsidRPr="00816AC1">
        <w:rPr>
          <w:sz w:val="24"/>
        </w:rPr>
        <w:t>periodisk  termo-fotografering av alle elektriske hovedtavler for å redusere faren for brann/varmgang).</w:t>
      </w:r>
    </w:p>
    <w:p w14:paraId="2EF89139" w14:textId="77777777" w:rsidR="006D6D2D" w:rsidRPr="00816AC1" w:rsidRDefault="006D6D2D" w:rsidP="006D6D2D">
      <w:pPr>
        <w:numPr>
          <w:ilvl w:val="0"/>
          <w:numId w:val="6"/>
        </w:numPr>
        <w:tabs>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8" w:lineRule="auto"/>
        <w:jc w:val="both"/>
        <w:rPr>
          <w:sz w:val="24"/>
        </w:rPr>
      </w:pPr>
      <w:r w:rsidRPr="00816AC1">
        <w:rPr>
          <w:sz w:val="24"/>
        </w:rPr>
        <w:t xml:space="preserve">Implementere </w:t>
      </w:r>
      <w:r w:rsidRPr="00816AC1">
        <w:rPr>
          <w:b/>
          <w:sz w:val="24"/>
        </w:rPr>
        <w:t>fysiske tiltak/planer (</w:t>
      </w:r>
      <w:r w:rsidRPr="00816AC1">
        <w:rPr>
          <w:sz w:val="24"/>
        </w:rPr>
        <w:t>f.eks</w:t>
      </w:r>
      <w:r w:rsidRPr="00816AC1">
        <w:rPr>
          <w:b/>
          <w:sz w:val="24"/>
        </w:rPr>
        <w:t xml:space="preserve"> </w:t>
      </w:r>
      <w:r w:rsidRPr="00816AC1">
        <w:rPr>
          <w:sz w:val="24"/>
        </w:rPr>
        <w:t>bygge nytt vannbehandlingsanlegg, installere UV-anlegg).</w:t>
      </w:r>
    </w:p>
    <w:p w14:paraId="10E80629" w14:textId="77777777" w:rsidR="006D6D2D" w:rsidRPr="00816AC1" w:rsidRDefault="006D6D2D" w:rsidP="006D6D2D">
      <w:pPr>
        <w:numPr>
          <w:ilvl w:val="0"/>
          <w:numId w:val="6"/>
        </w:numPr>
        <w:tabs>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8" w:lineRule="auto"/>
        <w:jc w:val="both"/>
        <w:rPr>
          <w:sz w:val="24"/>
        </w:rPr>
      </w:pPr>
      <w:r w:rsidRPr="00816AC1">
        <w:rPr>
          <w:sz w:val="24"/>
        </w:rPr>
        <w:t xml:space="preserve">Fastsettelse av </w:t>
      </w:r>
      <w:r w:rsidRPr="00816AC1">
        <w:rPr>
          <w:b/>
          <w:sz w:val="24"/>
        </w:rPr>
        <w:t>målepunkter/styringspunkter</w:t>
      </w:r>
      <w:r w:rsidRPr="00816AC1">
        <w:rPr>
          <w:sz w:val="24"/>
        </w:rPr>
        <w:t xml:space="preserve"> og oppfølging av disse for å fange opp farer tidligere slik at en kan sette i verk avbøtende tiltak for å styre unna faren. Kritiske kontroll-/styringspunkter er begreper som anvendes innen HACCP- og i WHO’s Water Safety Plan konseptene.</w:t>
      </w:r>
    </w:p>
    <w:p w14:paraId="30410D31" w14:textId="77777777" w:rsidR="006D6D2D" w:rsidRPr="00816AC1" w:rsidRDefault="006D6D2D" w:rsidP="006D6D2D">
      <w:pPr>
        <w:numPr>
          <w:ilvl w:val="0"/>
          <w:numId w:val="6"/>
        </w:numPr>
        <w:tabs>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0" w:line="288" w:lineRule="auto"/>
        <w:jc w:val="both"/>
        <w:rPr>
          <w:sz w:val="24"/>
        </w:rPr>
      </w:pPr>
      <w:r w:rsidRPr="00816AC1">
        <w:rPr>
          <w:b/>
          <w:sz w:val="24"/>
        </w:rPr>
        <w:t>Kursing/trening</w:t>
      </w:r>
      <w:r w:rsidRPr="00816AC1">
        <w:rPr>
          <w:sz w:val="24"/>
        </w:rPr>
        <w:t xml:space="preserve">. Dette gjelder både eksterne og interne kurs/treningsopplegg. Dette gjelder både egne ansatte og eksterne aktører. </w:t>
      </w:r>
    </w:p>
    <w:p w14:paraId="4AA3D06A" w14:textId="77777777" w:rsidR="006D6D2D" w:rsidRPr="00816AC1" w:rsidRDefault="006D6D2D" w:rsidP="006D6D2D">
      <w:pPr>
        <w:rPr>
          <w:sz w:val="24"/>
        </w:rPr>
      </w:pPr>
    </w:p>
    <w:p w14:paraId="097F5485" w14:textId="77777777" w:rsidR="006D6D2D" w:rsidRDefault="006D6D2D" w:rsidP="006D6D2D">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pPr>
      <w:r w:rsidRPr="00816AC1">
        <w:rPr>
          <w:sz w:val="24"/>
        </w:rPr>
        <w:t xml:space="preserve">For å systematisere arbeidet med </w:t>
      </w:r>
      <w:r>
        <w:rPr>
          <w:sz w:val="24"/>
        </w:rPr>
        <w:t>ROS-analyse</w:t>
      </w:r>
      <w:r w:rsidRPr="00816AC1">
        <w:rPr>
          <w:sz w:val="24"/>
        </w:rPr>
        <w:t xml:space="preserve"> </w:t>
      </w:r>
      <w:r>
        <w:rPr>
          <w:sz w:val="24"/>
        </w:rPr>
        <w:t xml:space="preserve">vil en for vannforsyning ta </w:t>
      </w:r>
      <w:r w:rsidRPr="00816AC1">
        <w:rPr>
          <w:sz w:val="24"/>
        </w:rPr>
        <w:t>utgangspunkt i Mattilsynets veileder</w:t>
      </w:r>
      <w:r>
        <w:rPr>
          <w:rStyle w:val="FootnoteReference"/>
          <w:sz w:val="24"/>
        </w:rPr>
        <w:footnoteReference w:id="1"/>
      </w:r>
      <w:r w:rsidRPr="00816AC1">
        <w:rPr>
          <w:sz w:val="24"/>
        </w:rPr>
        <w:t xml:space="preserve"> ”Veiledning i økt sikkerhet og beredskap i vannforsyningen”. </w:t>
      </w:r>
    </w:p>
    <w:p w14:paraId="74DA15E8" w14:textId="10541253" w:rsidR="006D6D2D" w:rsidRPr="00825B7F" w:rsidRDefault="005F73D1" w:rsidP="006D6D2D">
      <w:pPr>
        <w:pStyle w:val="Heading1"/>
      </w:pPr>
      <w:bookmarkStart w:id="5" w:name="_Ref431278199"/>
      <w:bookmarkStart w:id="6" w:name="_Toc431925146"/>
      <w:bookmarkStart w:id="7" w:name="_Toc442299937"/>
      <w:r>
        <w:t xml:space="preserve">System for fastsettelse av sannsynlighet og konsekvens form uønskede </w:t>
      </w:r>
      <w:bookmarkEnd w:id="5"/>
      <w:bookmarkEnd w:id="6"/>
      <w:r>
        <w:t>hendelser</w:t>
      </w:r>
      <w:bookmarkEnd w:id="7"/>
    </w:p>
    <w:p w14:paraId="7A286796" w14:textId="3EAED98B" w:rsidR="006D6D2D" w:rsidRPr="00906E93" w:rsidRDefault="006D6D2D" w:rsidP="006D6D2D">
      <w:pPr>
        <w:spacing w:line="288" w:lineRule="auto"/>
        <w:jc w:val="both"/>
        <w:rPr>
          <w:sz w:val="24"/>
        </w:rPr>
      </w:pPr>
      <w:r w:rsidRPr="00906E93">
        <w:rPr>
          <w:sz w:val="24"/>
        </w:rPr>
        <w:t>I det følgende beskrives system</w:t>
      </w:r>
      <w:r>
        <w:rPr>
          <w:sz w:val="24"/>
        </w:rPr>
        <w:t>et</w:t>
      </w:r>
      <w:r w:rsidRPr="00906E93">
        <w:rPr>
          <w:sz w:val="24"/>
        </w:rPr>
        <w:t xml:space="preserve"> for å kvantifisere sannsynligheter og konsekvenser for de uønskede hendelsene basert på Mattilsynets veiledning</w:t>
      </w:r>
      <w:r>
        <w:rPr>
          <w:sz w:val="24"/>
        </w:rPr>
        <w:t xml:space="preserve"> fra 2006</w:t>
      </w:r>
      <w:r w:rsidRPr="00906E93">
        <w:rPr>
          <w:sz w:val="24"/>
        </w:rPr>
        <w:t xml:space="preserve">. </w:t>
      </w:r>
    </w:p>
    <w:p w14:paraId="0627D06F" w14:textId="2BF416DF" w:rsidR="00B87EE8" w:rsidRPr="00DC7C61" w:rsidRDefault="00B87EE8" w:rsidP="00B87EE8">
      <w:pPr>
        <w:jc w:val="center"/>
        <w:rPr>
          <w:b/>
        </w:rPr>
      </w:pPr>
      <w:r w:rsidRPr="00DC7C61">
        <w:rPr>
          <w:b/>
        </w:rPr>
        <w:t xml:space="preserve">Tabell </w:t>
      </w:r>
      <w:r w:rsidRPr="00DC7C61">
        <w:rPr>
          <w:b/>
        </w:rPr>
        <w:fldChar w:fldCharType="begin"/>
      </w:r>
      <w:r w:rsidRPr="00DC7C61">
        <w:rPr>
          <w:b/>
        </w:rPr>
        <w:instrText xml:space="preserve"> SEQ Tabell \* ARABIC </w:instrText>
      </w:r>
      <w:r w:rsidRPr="00DC7C61">
        <w:rPr>
          <w:b/>
        </w:rPr>
        <w:fldChar w:fldCharType="separate"/>
      </w:r>
      <w:r>
        <w:rPr>
          <w:b/>
          <w:noProof/>
        </w:rPr>
        <w:t>1</w:t>
      </w:r>
      <w:r w:rsidRPr="00DC7C61">
        <w:rPr>
          <w:b/>
          <w:noProof/>
        </w:rPr>
        <w:fldChar w:fldCharType="end"/>
      </w:r>
      <w:r w:rsidRPr="00DC7C61">
        <w:rPr>
          <w:b/>
        </w:rPr>
        <w:t xml:space="preserve"> Beskrivelse av sannsynligheter</w:t>
      </w:r>
    </w:p>
    <w:tbl>
      <w:tblPr>
        <w:tblW w:w="5000" w:type="pct"/>
        <w:tblCellSpacing w:w="0" w:type="dxa"/>
        <w:tblCellMar>
          <w:left w:w="0" w:type="dxa"/>
          <w:right w:w="0" w:type="dxa"/>
        </w:tblCellMar>
        <w:tblLook w:val="0000" w:firstRow="0" w:lastRow="0" w:firstColumn="0" w:lastColumn="0" w:noHBand="0" w:noVBand="0"/>
      </w:tblPr>
      <w:tblGrid>
        <w:gridCol w:w="1374"/>
        <w:gridCol w:w="7668"/>
      </w:tblGrid>
      <w:tr w:rsidR="00B87EE8" w:rsidRPr="00EF2FB6" w14:paraId="2BBB3344" w14:textId="77777777" w:rsidTr="00B87EE8">
        <w:trPr>
          <w:trHeight w:val="345"/>
          <w:tblCellSpacing w:w="0" w:type="dxa"/>
        </w:trPr>
        <w:tc>
          <w:tcPr>
            <w:tcW w:w="760" w:type="pct"/>
            <w:tcBorders>
              <w:top w:val="single" w:sz="12" w:space="0" w:color="000000"/>
              <w:left w:val="single" w:sz="12" w:space="0" w:color="000000"/>
              <w:bottom w:val="single" w:sz="8" w:space="0" w:color="000000"/>
              <w:right w:val="single" w:sz="8" w:space="0" w:color="000000"/>
            </w:tcBorders>
            <w:shd w:val="clear" w:color="auto" w:fill="C0C0C0"/>
            <w:vAlign w:val="center"/>
          </w:tcPr>
          <w:p w14:paraId="4073E0B5" w14:textId="77777777" w:rsidR="00B87EE8" w:rsidRPr="00EF2FB6" w:rsidRDefault="00B87EE8" w:rsidP="00B87EE8">
            <w:pPr>
              <w:spacing w:after="0" w:line="288" w:lineRule="auto"/>
              <w:rPr>
                <w:sz w:val="20"/>
              </w:rPr>
            </w:pPr>
            <w:r w:rsidRPr="00EF2FB6">
              <w:rPr>
                <w:b/>
                <w:bCs/>
                <w:sz w:val="20"/>
              </w:rPr>
              <w:t xml:space="preserve">S-NIVÅ </w:t>
            </w:r>
          </w:p>
        </w:tc>
        <w:tc>
          <w:tcPr>
            <w:tcW w:w="4240" w:type="pct"/>
            <w:tcBorders>
              <w:top w:val="single" w:sz="12" w:space="0" w:color="000000"/>
              <w:left w:val="single" w:sz="8" w:space="0" w:color="000000"/>
              <w:bottom w:val="single" w:sz="8" w:space="0" w:color="000000"/>
              <w:right w:val="single" w:sz="12" w:space="0" w:color="000000"/>
            </w:tcBorders>
            <w:shd w:val="clear" w:color="auto" w:fill="C0C0C0"/>
            <w:vAlign w:val="center"/>
          </w:tcPr>
          <w:p w14:paraId="388043F0" w14:textId="77777777" w:rsidR="00B87EE8" w:rsidRPr="00EF2FB6" w:rsidRDefault="00B87EE8" w:rsidP="00B87EE8">
            <w:pPr>
              <w:spacing w:after="0" w:line="288" w:lineRule="auto"/>
              <w:ind w:left="122" w:right="112"/>
              <w:jc w:val="both"/>
              <w:rPr>
                <w:sz w:val="20"/>
              </w:rPr>
            </w:pPr>
            <w:r w:rsidRPr="00EF2FB6">
              <w:rPr>
                <w:b/>
                <w:bCs/>
                <w:sz w:val="20"/>
              </w:rPr>
              <w:t xml:space="preserve">KRITERIER </w:t>
            </w:r>
          </w:p>
        </w:tc>
      </w:tr>
      <w:tr w:rsidR="00B87EE8" w:rsidRPr="00ED76FF" w14:paraId="32B81B32" w14:textId="77777777" w:rsidTr="00B87EE8">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47AA92D1" w14:textId="77777777" w:rsidR="00B87EE8" w:rsidRPr="00ED76FF" w:rsidRDefault="00B87EE8" w:rsidP="00B87EE8">
            <w:pPr>
              <w:spacing w:after="0" w:line="288" w:lineRule="auto"/>
              <w:ind w:left="57" w:right="57"/>
              <w:rPr>
                <w:rFonts w:ascii="Arial Narrow" w:hAnsi="Arial Narrow"/>
                <w:sz w:val="20"/>
                <w:szCs w:val="20"/>
              </w:rPr>
            </w:pPr>
            <w:r w:rsidRPr="00ED76FF">
              <w:rPr>
                <w:rFonts w:ascii="Arial Narrow" w:hAnsi="Arial Narrow"/>
                <w:sz w:val="20"/>
                <w:szCs w:val="20"/>
              </w:rPr>
              <w:t xml:space="preserve">S1: Liten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6AC6F244" w14:textId="77777777" w:rsidR="00B87EE8" w:rsidRDefault="00B87EE8" w:rsidP="00B87EE8">
            <w:pPr>
              <w:spacing w:after="0" w:line="240" w:lineRule="auto"/>
              <w:ind w:left="122" w:right="112"/>
              <w:jc w:val="both"/>
              <w:rPr>
                <w:rFonts w:ascii="Arial Narrow" w:hAnsi="Arial Narrow"/>
                <w:sz w:val="20"/>
                <w:szCs w:val="20"/>
              </w:rPr>
            </w:pPr>
            <w:r w:rsidRPr="00ED76FF">
              <w:rPr>
                <w:rFonts w:ascii="Arial Narrow" w:hAnsi="Arial Narrow"/>
                <w:sz w:val="20"/>
                <w:szCs w:val="20"/>
              </w:rPr>
              <w:t xml:space="preserve">a: Hendelsen er ukjent i bransjen </w:t>
            </w:r>
          </w:p>
          <w:p w14:paraId="28967A27" w14:textId="6D490327" w:rsidR="00B87EE8" w:rsidRPr="00ED76FF" w:rsidRDefault="00B87EE8" w:rsidP="00B87EE8">
            <w:pPr>
              <w:spacing w:after="0" w:line="240" w:lineRule="auto"/>
              <w:ind w:left="122" w:right="112"/>
              <w:jc w:val="both"/>
              <w:rPr>
                <w:rFonts w:ascii="Arial Narrow" w:hAnsi="Arial Narrow"/>
                <w:sz w:val="20"/>
                <w:szCs w:val="20"/>
              </w:rPr>
            </w:pPr>
            <w:r w:rsidRPr="00ED76FF">
              <w:rPr>
                <w:rFonts w:ascii="Arial Narrow" w:hAnsi="Arial Narrow"/>
                <w:sz w:val="20"/>
                <w:szCs w:val="20"/>
              </w:rPr>
              <w:t xml:space="preserve">b: Faglig skjønn tilsier at hendelsen ikke helt kan utelukkes </w:t>
            </w:r>
          </w:p>
          <w:p w14:paraId="2FD8FEEA" w14:textId="77777777" w:rsidR="00B87EE8" w:rsidRPr="00ED76FF" w:rsidRDefault="00B87EE8" w:rsidP="00B87EE8">
            <w:pPr>
              <w:spacing w:after="0" w:line="240" w:lineRule="auto"/>
              <w:ind w:left="122" w:right="112"/>
              <w:jc w:val="both"/>
              <w:rPr>
                <w:rFonts w:ascii="Arial Narrow" w:hAnsi="Arial Narrow"/>
                <w:sz w:val="20"/>
                <w:szCs w:val="20"/>
              </w:rPr>
            </w:pPr>
            <w:r w:rsidRPr="00ED76FF">
              <w:rPr>
                <w:rFonts w:ascii="Arial Narrow" w:hAnsi="Arial Narrow"/>
                <w:sz w:val="20"/>
                <w:szCs w:val="20"/>
              </w:rPr>
              <w:t xml:space="preserve">c: Trusselvurdering tilsier at hendelsen er lite sannsynlig </w:t>
            </w:r>
          </w:p>
        </w:tc>
      </w:tr>
      <w:tr w:rsidR="00B87EE8" w:rsidRPr="00ED76FF" w14:paraId="26CD0217" w14:textId="77777777" w:rsidTr="00B87EE8">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5BF80BE1" w14:textId="77777777" w:rsidR="00B87EE8" w:rsidRPr="00ED76FF" w:rsidRDefault="00B87EE8" w:rsidP="00B87EE8">
            <w:pPr>
              <w:spacing w:after="0" w:line="288" w:lineRule="auto"/>
              <w:ind w:left="57" w:right="57"/>
              <w:rPr>
                <w:rFonts w:ascii="Arial Narrow" w:hAnsi="Arial Narrow"/>
                <w:sz w:val="20"/>
                <w:szCs w:val="20"/>
              </w:rPr>
            </w:pPr>
            <w:r w:rsidRPr="00ED76FF">
              <w:rPr>
                <w:rFonts w:ascii="Arial Narrow" w:hAnsi="Arial Narrow"/>
                <w:sz w:val="20"/>
                <w:szCs w:val="20"/>
              </w:rPr>
              <w:t xml:space="preserve">S2: Middels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55EC91DA"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 xml:space="preserve">a: Bransjen kjenner til at hendelsen har inntruffet de siste 5 år </w:t>
            </w:r>
          </w:p>
          <w:p w14:paraId="6FA42D3D"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 xml:space="preserve">b: Faglig skjønn og føre-var hensyn tilsier at det er riktig å ta høyde for at hendelsen kan oppstå i vannverket de neste 10-50 år </w:t>
            </w:r>
          </w:p>
          <w:p w14:paraId="08685D39"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c: Trusselvurdering tilsier at hendelsen er middels sannsynlig</w:t>
            </w:r>
          </w:p>
        </w:tc>
      </w:tr>
      <w:tr w:rsidR="00B87EE8" w:rsidRPr="00ED76FF" w14:paraId="703A59E0" w14:textId="77777777" w:rsidTr="00B87EE8">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21D5F08B" w14:textId="77777777" w:rsidR="00B87EE8" w:rsidRPr="00ED76FF" w:rsidRDefault="00B87EE8" w:rsidP="00B87EE8">
            <w:pPr>
              <w:spacing w:after="0" w:line="288" w:lineRule="auto"/>
              <w:ind w:left="57" w:right="57"/>
              <w:rPr>
                <w:rFonts w:ascii="Arial Narrow" w:hAnsi="Arial Narrow"/>
                <w:sz w:val="20"/>
                <w:szCs w:val="20"/>
              </w:rPr>
            </w:pPr>
            <w:r w:rsidRPr="00ED76FF">
              <w:rPr>
                <w:rFonts w:ascii="Arial Narrow" w:hAnsi="Arial Narrow"/>
                <w:sz w:val="20"/>
                <w:szCs w:val="20"/>
              </w:rPr>
              <w:t xml:space="preserve">S3: Stor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2779C337"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a: Det er kjent i bransjen at hendelsen forekommer årlig b: Vannverket har selv opplevd enkelt</w:t>
            </w:r>
            <w:r w:rsidRPr="00ED76FF">
              <w:rPr>
                <w:rFonts w:ascii="Arial Narrow" w:hAnsi="Arial Narrow"/>
                <w:sz w:val="20"/>
                <w:szCs w:val="20"/>
              </w:rPr>
              <w:softHyphen/>
              <w:t xml:space="preserve">stående tilfeller, eller hendelsen har nesten inntruffet </w:t>
            </w:r>
          </w:p>
          <w:p w14:paraId="0542C9BC"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 xml:space="preserve">c: Faglig skjønn og føre-var hensyn tilsier at hendelsen kan oppstå i vannverket i løpet av de neste 1-10 år </w:t>
            </w:r>
          </w:p>
          <w:p w14:paraId="6E41DFFA" w14:textId="77777777" w:rsidR="00B87EE8" w:rsidRPr="00ED76FF" w:rsidRDefault="00B87EE8" w:rsidP="00B87EE8">
            <w:pPr>
              <w:spacing w:after="0"/>
              <w:ind w:left="122" w:right="112"/>
              <w:jc w:val="both"/>
              <w:rPr>
                <w:rFonts w:ascii="Arial Narrow" w:hAnsi="Arial Narrow"/>
                <w:sz w:val="20"/>
                <w:szCs w:val="20"/>
              </w:rPr>
            </w:pPr>
            <w:r w:rsidRPr="00ED76FF">
              <w:rPr>
                <w:rFonts w:ascii="Arial Narrow" w:hAnsi="Arial Narrow"/>
                <w:sz w:val="20"/>
                <w:szCs w:val="20"/>
              </w:rPr>
              <w:t>d: Trusselvurdering tilsier at hendelsen har stor sannsynlighet</w:t>
            </w:r>
          </w:p>
        </w:tc>
      </w:tr>
      <w:tr w:rsidR="00B87EE8" w:rsidRPr="00ED76FF" w14:paraId="744078BE" w14:textId="77777777" w:rsidTr="00B87EE8">
        <w:trPr>
          <w:trHeight w:val="661"/>
          <w:tblCellSpacing w:w="0" w:type="dxa"/>
        </w:trPr>
        <w:tc>
          <w:tcPr>
            <w:tcW w:w="760" w:type="pct"/>
            <w:tcBorders>
              <w:top w:val="single" w:sz="8" w:space="0" w:color="000000"/>
              <w:left w:val="single" w:sz="12" w:space="0" w:color="000000"/>
              <w:bottom w:val="single" w:sz="12" w:space="0" w:color="000000"/>
              <w:right w:val="single" w:sz="8" w:space="0" w:color="000000"/>
            </w:tcBorders>
          </w:tcPr>
          <w:p w14:paraId="0996E17C" w14:textId="77777777" w:rsidR="00B87EE8" w:rsidRPr="00ED76FF" w:rsidRDefault="00B87EE8" w:rsidP="00B87EE8">
            <w:pPr>
              <w:spacing w:after="0" w:line="288" w:lineRule="auto"/>
              <w:ind w:left="57" w:right="57"/>
              <w:rPr>
                <w:rFonts w:ascii="Arial Narrow" w:hAnsi="Arial Narrow"/>
                <w:sz w:val="20"/>
                <w:szCs w:val="20"/>
              </w:rPr>
            </w:pPr>
            <w:r w:rsidRPr="00ED76FF">
              <w:rPr>
                <w:rFonts w:ascii="Arial Narrow" w:hAnsi="Arial Narrow"/>
                <w:sz w:val="20"/>
                <w:szCs w:val="20"/>
              </w:rPr>
              <w:t xml:space="preserve">S4: Svært stor sannsynlighet </w:t>
            </w:r>
          </w:p>
        </w:tc>
        <w:tc>
          <w:tcPr>
            <w:tcW w:w="4240" w:type="pct"/>
            <w:tcBorders>
              <w:top w:val="single" w:sz="8" w:space="0" w:color="000000"/>
              <w:left w:val="single" w:sz="8" w:space="0" w:color="000000"/>
              <w:bottom w:val="single" w:sz="12" w:space="0" w:color="000000"/>
              <w:right w:val="single" w:sz="12" w:space="0" w:color="000000"/>
            </w:tcBorders>
          </w:tcPr>
          <w:p w14:paraId="7C55164E" w14:textId="77777777" w:rsidR="00B87EE8" w:rsidRPr="00ED76FF" w:rsidRDefault="00B87EE8" w:rsidP="00B87EE8">
            <w:pPr>
              <w:spacing w:after="0"/>
              <w:ind w:left="122" w:right="112"/>
              <w:rPr>
                <w:rFonts w:ascii="Arial Narrow" w:hAnsi="Arial Narrow"/>
                <w:sz w:val="20"/>
                <w:szCs w:val="20"/>
              </w:rPr>
            </w:pPr>
            <w:r w:rsidRPr="00ED76FF">
              <w:rPr>
                <w:rFonts w:ascii="Arial Narrow" w:hAnsi="Arial Narrow"/>
                <w:sz w:val="20"/>
                <w:szCs w:val="20"/>
              </w:rPr>
              <w:t xml:space="preserve">a: Hendelsen forekommer fra tid til annen i vannverket </w:t>
            </w:r>
          </w:p>
          <w:p w14:paraId="67459A61" w14:textId="77777777" w:rsidR="00B87EE8" w:rsidRPr="00ED76FF" w:rsidRDefault="00B87EE8" w:rsidP="00B87EE8">
            <w:pPr>
              <w:spacing w:after="0"/>
              <w:ind w:left="122" w:right="112"/>
              <w:rPr>
                <w:rFonts w:ascii="Arial Narrow" w:hAnsi="Arial Narrow"/>
                <w:sz w:val="20"/>
                <w:szCs w:val="20"/>
              </w:rPr>
            </w:pPr>
            <w:r w:rsidRPr="00ED76FF">
              <w:rPr>
                <w:rFonts w:ascii="Arial Narrow" w:hAnsi="Arial Narrow"/>
                <w:sz w:val="20"/>
                <w:szCs w:val="20"/>
              </w:rPr>
              <w:t xml:space="preserve">b: Trusselvurdering tilsier at hendelsen har svært stor sannsynlighet </w:t>
            </w:r>
          </w:p>
        </w:tc>
      </w:tr>
    </w:tbl>
    <w:p w14:paraId="6864F460" w14:textId="77777777" w:rsidR="00B87EE8" w:rsidRDefault="00B87EE8" w:rsidP="00B87EE8">
      <w:bookmarkStart w:id="8" w:name="_Ref246227852"/>
    </w:p>
    <w:p w14:paraId="08D85C27" w14:textId="07CA017C" w:rsidR="00B87EE8" w:rsidRDefault="00B87EE8" w:rsidP="00B87EE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rPr>
          <w:sz w:val="24"/>
        </w:rPr>
      </w:pPr>
      <w:r w:rsidRPr="00816AC1">
        <w:rPr>
          <w:sz w:val="24"/>
        </w:rPr>
        <w:t xml:space="preserve">Mattilsynets veiledning omfatter i utgangspunktet bare vannforsyning, men noen kommuner har også modifisert konsekvenskategoriene angitt i veiledningen slik at den kan anvendes både for vann og avløp. </w:t>
      </w:r>
      <w:r>
        <w:rPr>
          <w:sz w:val="24"/>
        </w:rPr>
        <w:t xml:space="preserve">Dette er gjort ved å tilføye kriterier for konsekvensvurdering som også er relevant for avløp. Fordelen med dette er at kommunen da kan foreta en samlet vurdering av </w:t>
      </w:r>
      <w:r w:rsidRPr="00816AC1">
        <w:rPr>
          <w:sz w:val="24"/>
        </w:rPr>
        <w:t xml:space="preserve">risikoen for de ulike hendelser som skjer innen både vann og avløp og foreta en samlet prioritering. </w:t>
      </w:r>
      <w:r>
        <w:rPr>
          <w:sz w:val="24"/>
        </w:rPr>
        <w:t>Eksempel på modifiserte konsekvensklasser som kan anvendes både for vann og avløp er vist i tabellen under.</w:t>
      </w:r>
    </w:p>
    <w:p w14:paraId="040001B0" w14:textId="77E68EA9" w:rsidR="00B87EE8" w:rsidRPr="00DC7C61" w:rsidRDefault="00B87EE8" w:rsidP="00B87EE8">
      <w:pPr>
        <w:jc w:val="center"/>
        <w:rPr>
          <w:b/>
        </w:rPr>
      </w:pPr>
      <w:bookmarkStart w:id="9" w:name="_Ref246228206"/>
      <w:r w:rsidRPr="00DC7C61">
        <w:rPr>
          <w:b/>
        </w:rPr>
        <w:t>Tabell 1</w:t>
      </w:r>
      <w:bookmarkEnd w:id="8"/>
      <w:bookmarkEnd w:id="9"/>
      <w:r w:rsidRPr="00DC7C61">
        <w:rPr>
          <w:b/>
        </w:rPr>
        <w:t xml:space="preserve"> Beskrivelse av konsekvensklasser</w:t>
      </w:r>
    </w:p>
    <w:tbl>
      <w:tblPr>
        <w:tblW w:w="5000" w:type="pct"/>
        <w:tblCellSpacing w:w="0" w:type="dxa"/>
        <w:tblCellMar>
          <w:left w:w="0" w:type="dxa"/>
          <w:right w:w="0" w:type="dxa"/>
        </w:tblCellMar>
        <w:tblLook w:val="0000" w:firstRow="0" w:lastRow="0" w:firstColumn="0" w:lastColumn="0" w:noHBand="0" w:noVBand="0"/>
      </w:tblPr>
      <w:tblGrid>
        <w:gridCol w:w="1508"/>
        <w:gridCol w:w="7534"/>
      </w:tblGrid>
      <w:tr w:rsidR="00B87EE8" w:rsidRPr="00EF2FB6" w14:paraId="47BA7064" w14:textId="77777777" w:rsidTr="00B87EE8">
        <w:trPr>
          <w:trHeight w:val="360"/>
          <w:tblCellSpacing w:w="0" w:type="dxa"/>
        </w:trPr>
        <w:tc>
          <w:tcPr>
            <w:tcW w:w="834" w:type="pct"/>
            <w:tcBorders>
              <w:top w:val="single" w:sz="12" w:space="0" w:color="000000"/>
              <w:left w:val="single" w:sz="12" w:space="0" w:color="000000"/>
              <w:bottom w:val="single" w:sz="8" w:space="0" w:color="000000"/>
              <w:right w:val="single" w:sz="8" w:space="0" w:color="000000"/>
            </w:tcBorders>
            <w:shd w:val="clear" w:color="auto" w:fill="C0C0C0"/>
            <w:noWrap/>
            <w:vAlign w:val="center"/>
          </w:tcPr>
          <w:p w14:paraId="0F4D6541" w14:textId="77777777" w:rsidR="00B87EE8" w:rsidRPr="00EF2FB6" w:rsidRDefault="00B87EE8" w:rsidP="00B87EE8">
            <w:pPr>
              <w:keepNext/>
              <w:spacing w:after="0" w:line="288" w:lineRule="auto"/>
              <w:rPr>
                <w:sz w:val="20"/>
              </w:rPr>
            </w:pPr>
            <w:r w:rsidRPr="00EF2FB6">
              <w:rPr>
                <w:b/>
                <w:bCs/>
                <w:sz w:val="20"/>
              </w:rPr>
              <w:t xml:space="preserve">K-NIVÅ </w:t>
            </w:r>
          </w:p>
        </w:tc>
        <w:tc>
          <w:tcPr>
            <w:tcW w:w="4166" w:type="pct"/>
            <w:tcBorders>
              <w:top w:val="single" w:sz="12" w:space="0" w:color="000000"/>
              <w:left w:val="single" w:sz="8" w:space="0" w:color="000000"/>
              <w:bottom w:val="single" w:sz="8" w:space="0" w:color="000000"/>
              <w:right w:val="single" w:sz="12" w:space="0" w:color="000000"/>
            </w:tcBorders>
            <w:shd w:val="clear" w:color="auto" w:fill="C0C0C0"/>
            <w:vAlign w:val="center"/>
          </w:tcPr>
          <w:p w14:paraId="27321773" w14:textId="77777777" w:rsidR="00B87EE8" w:rsidRPr="00EF2FB6" w:rsidRDefault="00B87EE8" w:rsidP="00B87EE8">
            <w:pPr>
              <w:keepNext/>
              <w:spacing w:after="0" w:line="288" w:lineRule="auto"/>
              <w:ind w:left="123" w:right="112"/>
              <w:jc w:val="both"/>
              <w:rPr>
                <w:sz w:val="20"/>
              </w:rPr>
            </w:pPr>
            <w:r w:rsidRPr="00EF2FB6">
              <w:rPr>
                <w:b/>
                <w:bCs/>
                <w:sz w:val="20"/>
              </w:rPr>
              <w:t xml:space="preserve">KRITERIER </w:t>
            </w:r>
          </w:p>
        </w:tc>
      </w:tr>
      <w:tr w:rsidR="00B87EE8" w:rsidRPr="00ED76FF" w14:paraId="00CD25C0" w14:textId="77777777" w:rsidTr="00B87EE8">
        <w:trPr>
          <w:trHeight w:val="1065"/>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56768F75" w14:textId="77777777" w:rsidR="00B87EE8" w:rsidRPr="00ED76FF" w:rsidRDefault="00B87EE8" w:rsidP="00B87EE8">
            <w:pPr>
              <w:spacing w:after="0" w:line="288" w:lineRule="auto"/>
              <w:ind w:left="57" w:right="57"/>
              <w:rPr>
                <w:rFonts w:ascii="Arial Narrow" w:hAnsi="Arial Narrow"/>
                <w:sz w:val="20"/>
              </w:rPr>
            </w:pPr>
            <w:r w:rsidRPr="00ED76FF">
              <w:rPr>
                <w:rFonts w:ascii="Arial Narrow" w:hAnsi="Arial Narrow"/>
                <w:sz w:val="20"/>
              </w:rPr>
              <w:t xml:space="preserve">K1: Liten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1D6A6142"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a: Liv &amp; helse/kvalitet: Kvalitet påvirkes ubetydelig, gjeldende krav overholdes </w:t>
            </w:r>
          </w:p>
          <w:p w14:paraId="1521EE15"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b: Kvantitet/kapasitet: Ubetydelig påvirkning </w:t>
            </w:r>
          </w:p>
          <w:p w14:paraId="51B74B95"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c: Omdømme: Omdømme ikke truet</w:t>
            </w:r>
          </w:p>
          <w:p w14:paraId="7FDB768E"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d: økonomi: økonomisk tap mindre enn 5 % av årlig kostnader</w:t>
            </w:r>
          </w:p>
          <w:p w14:paraId="21602737"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e: Miljø: Mindre miljøskade.  Utbedret innen noen dager </w:t>
            </w:r>
          </w:p>
        </w:tc>
      </w:tr>
      <w:tr w:rsidR="00B87EE8" w:rsidRPr="00ED76FF" w14:paraId="7FC417EC" w14:textId="77777777" w:rsidTr="00B87EE8">
        <w:trPr>
          <w:trHeight w:val="336"/>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592DF623" w14:textId="77777777" w:rsidR="00B87EE8" w:rsidRPr="00ED76FF" w:rsidRDefault="00B87EE8" w:rsidP="00B87EE8">
            <w:pPr>
              <w:spacing w:after="0" w:line="288" w:lineRule="auto"/>
              <w:ind w:left="57" w:right="57"/>
              <w:rPr>
                <w:rFonts w:ascii="Arial Narrow" w:hAnsi="Arial Narrow"/>
                <w:sz w:val="20"/>
              </w:rPr>
            </w:pPr>
            <w:r w:rsidRPr="00ED76FF">
              <w:rPr>
                <w:rFonts w:ascii="Arial Narrow" w:hAnsi="Arial Narrow"/>
                <w:sz w:val="20"/>
              </w:rPr>
              <w:t xml:space="preserve">K2: Middels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5348902E"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a: Liv &amp; helse/kvalitet: Kortvarig, mindre brudd på gjeldende krav (vann) /1 skade som trenger medisinsk hjelp (avløp)</w:t>
            </w:r>
          </w:p>
          <w:p w14:paraId="21D0167F"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b: Kvantitet/kapasitet: Kortvarig (timer) svikt til enkelte områder </w:t>
            </w:r>
          </w:p>
          <w:p w14:paraId="46FBBB30"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c: Omdømme: Omdømme belastet</w:t>
            </w:r>
          </w:p>
          <w:p w14:paraId="4248EAFE"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d: Økonomi: økonomisk tap 5-10 % av årlig kostnader </w:t>
            </w:r>
          </w:p>
          <w:p w14:paraId="026BE1DA"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e: Miljø: middels miljøskade.  Utbedret innen noen uker. </w:t>
            </w:r>
          </w:p>
        </w:tc>
      </w:tr>
      <w:tr w:rsidR="00B87EE8" w:rsidRPr="00ED76FF" w14:paraId="2D893F9F" w14:textId="77777777" w:rsidTr="00B87EE8">
        <w:trPr>
          <w:trHeight w:val="1260"/>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20D6ADA1" w14:textId="77777777" w:rsidR="00B87EE8" w:rsidRPr="00ED76FF" w:rsidRDefault="00B87EE8" w:rsidP="00B87EE8">
            <w:pPr>
              <w:spacing w:after="0" w:line="288" w:lineRule="auto"/>
              <w:ind w:left="57" w:right="57"/>
              <w:rPr>
                <w:rFonts w:ascii="Arial Narrow" w:hAnsi="Arial Narrow"/>
                <w:sz w:val="20"/>
              </w:rPr>
            </w:pPr>
            <w:r w:rsidRPr="00ED76FF">
              <w:rPr>
                <w:rFonts w:ascii="Arial Narrow" w:hAnsi="Arial Narrow"/>
                <w:sz w:val="20"/>
              </w:rPr>
              <w:t xml:space="preserve">K3: Stor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66CFAB77"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a: Liv &amp; helse/kvalitet: Brudd på gjeldende krav, ulempe for helse (vann)/flere skader som trenger medisinsk /sykehus (avløp) </w:t>
            </w:r>
          </w:p>
          <w:p w14:paraId="47F1D3FD"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b: Kvantitet/kapasitet: Langvarig svikt (dager) til enkelte områder </w:t>
            </w:r>
          </w:p>
          <w:p w14:paraId="235E6FFF"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c: Omdømme: Omdømme kortvarig tapt/skadet</w:t>
            </w:r>
          </w:p>
          <w:p w14:paraId="78FB505E"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d: Økonomi: økonomisk tap 10-20 % av årlig kostnader </w:t>
            </w:r>
          </w:p>
          <w:p w14:paraId="5C4711F8"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e: Miljø: Stor miljøskade.  Utbedret innen noen måneder.</w:t>
            </w:r>
          </w:p>
        </w:tc>
      </w:tr>
      <w:tr w:rsidR="00B87EE8" w:rsidRPr="00ED76FF" w14:paraId="1111C0D5" w14:textId="77777777" w:rsidTr="00B87EE8">
        <w:trPr>
          <w:trHeight w:val="1665"/>
          <w:tblCellSpacing w:w="0" w:type="dxa"/>
        </w:trPr>
        <w:tc>
          <w:tcPr>
            <w:tcW w:w="834" w:type="pct"/>
            <w:tcBorders>
              <w:top w:val="single" w:sz="8" w:space="0" w:color="000000"/>
              <w:left w:val="single" w:sz="12" w:space="0" w:color="000000"/>
              <w:bottom w:val="single" w:sz="12" w:space="0" w:color="000000"/>
              <w:right w:val="single" w:sz="8" w:space="0" w:color="000000"/>
            </w:tcBorders>
          </w:tcPr>
          <w:p w14:paraId="055A7927" w14:textId="77777777" w:rsidR="00B87EE8" w:rsidRPr="00ED76FF" w:rsidRDefault="00B87EE8" w:rsidP="00B87EE8">
            <w:pPr>
              <w:spacing w:after="0" w:line="288" w:lineRule="auto"/>
              <w:ind w:left="57" w:right="57"/>
              <w:rPr>
                <w:rFonts w:ascii="Arial Narrow" w:hAnsi="Arial Narrow"/>
                <w:sz w:val="20"/>
              </w:rPr>
            </w:pPr>
            <w:r w:rsidRPr="00ED76FF">
              <w:rPr>
                <w:rFonts w:ascii="Arial Narrow" w:hAnsi="Arial Narrow"/>
                <w:sz w:val="20"/>
              </w:rPr>
              <w:t xml:space="preserve">K4: Svært stor konsekvens </w:t>
            </w:r>
          </w:p>
        </w:tc>
        <w:tc>
          <w:tcPr>
            <w:tcW w:w="4166" w:type="pct"/>
            <w:tcBorders>
              <w:top w:val="single" w:sz="8" w:space="0" w:color="000000"/>
              <w:left w:val="single" w:sz="8" w:space="0" w:color="000000"/>
              <w:bottom w:val="single" w:sz="12" w:space="0" w:color="000000"/>
              <w:right w:val="single" w:sz="12" w:space="0" w:color="000000"/>
            </w:tcBorders>
            <w:vAlign w:val="center"/>
          </w:tcPr>
          <w:p w14:paraId="7AE67E18"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a: Liv &amp; helse/kvalitet: Alvorlig brudd på gjeldende krav, fare for liv og helse, drikkevanns</w:t>
            </w:r>
            <w:r w:rsidRPr="00ED76FF">
              <w:rPr>
                <w:rFonts w:ascii="Arial Narrow" w:hAnsi="Arial Narrow"/>
                <w:sz w:val="20"/>
              </w:rPr>
              <w:softHyphen/>
              <w:t>forskriftens § 18 trer i kraft (vann) / flere skader som trenger medisinsk /sykehus minst en alvorlig skadet (avløp)</w:t>
            </w:r>
          </w:p>
          <w:p w14:paraId="77805002"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b: Kvantitet/kapasitet: Langvarig svikt som rammer flertallet av abonnentene </w:t>
            </w:r>
          </w:p>
          <w:p w14:paraId="108A4F25"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c: Omdømme: Omdømme langvarig tapt/skadet</w:t>
            </w:r>
          </w:p>
          <w:p w14:paraId="250B0001"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 xml:space="preserve">d: økonomi: økonomisk tap større enn 20 % av årlig kostnader </w:t>
            </w:r>
          </w:p>
          <w:p w14:paraId="320BFDBB" w14:textId="77777777" w:rsidR="00B87EE8" w:rsidRPr="00ED76FF" w:rsidRDefault="00B87EE8" w:rsidP="00B87EE8">
            <w:pPr>
              <w:spacing w:after="0"/>
              <w:ind w:left="123" w:right="112"/>
              <w:jc w:val="both"/>
              <w:rPr>
                <w:rFonts w:ascii="Arial Narrow" w:hAnsi="Arial Narrow"/>
                <w:sz w:val="20"/>
              </w:rPr>
            </w:pPr>
            <w:r w:rsidRPr="00ED76FF">
              <w:rPr>
                <w:rFonts w:ascii="Arial Narrow" w:hAnsi="Arial Narrow"/>
                <w:sz w:val="20"/>
              </w:rPr>
              <w:t>e: Miljø: Svært stor miljøskade som det vil ta år å lege</w:t>
            </w:r>
          </w:p>
        </w:tc>
      </w:tr>
    </w:tbl>
    <w:p w14:paraId="711F734F" w14:textId="77777777" w:rsidR="00B87EE8" w:rsidRDefault="00B87EE8" w:rsidP="00B87EE8"/>
    <w:p w14:paraId="52577317" w14:textId="41394752" w:rsidR="006D6D2D" w:rsidRDefault="005606F2" w:rsidP="006D6D2D">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rPr>
          <w:sz w:val="24"/>
        </w:rPr>
      </w:pPr>
      <w:r w:rsidRPr="00283D5D">
        <w:rPr>
          <w:noProof/>
          <w:sz w:val="24"/>
          <w:lang w:val="en-US"/>
        </w:rPr>
        <w:drawing>
          <wp:anchor distT="0" distB="0" distL="114300" distR="114300" simplePos="0" relativeHeight="251659264" behindDoc="1" locked="0" layoutInCell="1" allowOverlap="1" wp14:anchorId="57191199" wp14:editId="3DCFAFF8">
            <wp:simplePos x="0" y="0"/>
            <wp:positionH relativeFrom="column">
              <wp:posOffset>2067560</wp:posOffset>
            </wp:positionH>
            <wp:positionV relativeFrom="paragraph">
              <wp:posOffset>675640</wp:posOffset>
            </wp:positionV>
            <wp:extent cx="3608070" cy="236093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8070" cy="2360930"/>
                    </a:xfrm>
                    <a:prstGeom prst="rect">
                      <a:avLst/>
                    </a:prstGeom>
                    <a:noFill/>
                  </pic:spPr>
                </pic:pic>
              </a:graphicData>
            </a:graphic>
            <wp14:sizeRelH relativeFrom="page">
              <wp14:pctWidth>0</wp14:pctWidth>
            </wp14:sizeRelH>
            <wp14:sizeRelV relativeFrom="page">
              <wp14:pctHeight>0</wp14:pctHeight>
            </wp14:sizeRelV>
          </wp:anchor>
        </w:drawing>
      </w:r>
      <w:r w:rsidR="006D6D2D">
        <w:rPr>
          <w:sz w:val="24"/>
        </w:rPr>
        <w:t xml:space="preserve">De identifiserte uønskede hendelser plottes i en </w:t>
      </w:r>
      <w:r w:rsidR="006D6D2D" w:rsidRPr="00283D5D">
        <w:rPr>
          <w:sz w:val="24"/>
        </w:rPr>
        <w:t xml:space="preserve">risiko matrise </w:t>
      </w:r>
      <w:r w:rsidR="006D6D2D">
        <w:rPr>
          <w:sz w:val="24"/>
        </w:rPr>
        <w:t xml:space="preserve">basert på en </w:t>
      </w:r>
      <w:r w:rsidR="006D6D2D" w:rsidRPr="00283D5D">
        <w:rPr>
          <w:sz w:val="24"/>
        </w:rPr>
        <w:t xml:space="preserve">kategorisering av sannsynlighet og konsekvensene </w:t>
      </w:r>
      <w:r w:rsidR="006D6D2D">
        <w:rPr>
          <w:sz w:val="24"/>
        </w:rPr>
        <w:t>for hver enkelt hendelse.</w:t>
      </w:r>
      <w:r>
        <w:rPr>
          <w:sz w:val="24"/>
        </w:rPr>
        <w:t xml:space="preserve"> I følge Mattilsynets veiledning blir dette en 4x4 matrise, men andre inndelinger slik som 5x5 er også mulig. </w:t>
      </w:r>
    </w:p>
    <w:p w14:paraId="7FE72699" w14:textId="6D967CA9" w:rsidR="006D6D2D" w:rsidRDefault="006D6D2D" w:rsidP="006D6D2D">
      <w:pPr>
        <w:jc w:val="both"/>
        <w:rPr>
          <w:sz w:val="24"/>
        </w:rPr>
      </w:pPr>
      <w:r>
        <w:rPr>
          <w:sz w:val="24"/>
        </w:rPr>
        <w:t xml:space="preserve">I </w:t>
      </w:r>
      <w:r w:rsidRPr="00283D5D">
        <w:rPr>
          <w:sz w:val="24"/>
        </w:rPr>
        <w:t xml:space="preserve">ROS-analysen benyttes </w:t>
      </w:r>
      <w:r>
        <w:rPr>
          <w:sz w:val="24"/>
        </w:rPr>
        <w:t>risikomatrisen for å s</w:t>
      </w:r>
      <w:r w:rsidRPr="00283D5D">
        <w:rPr>
          <w:sz w:val="24"/>
        </w:rPr>
        <w:t>ammenfatte sannsynligheter og konsekvenser for å gi et bilde av de mest kritiske hendelser</w:t>
      </w:r>
      <w:r>
        <w:rPr>
          <w:sz w:val="24"/>
        </w:rPr>
        <w:t>.</w:t>
      </w:r>
      <w:r w:rsidRPr="00283D5D">
        <w:rPr>
          <w:sz w:val="24"/>
        </w:rPr>
        <w:t xml:space="preserve"> </w:t>
      </w:r>
    </w:p>
    <w:p w14:paraId="61C0B557" w14:textId="77777777" w:rsidR="006D6D2D" w:rsidRDefault="006D6D2D" w:rsidP="006D6D2D">
      <w:pPr>
        <w:jc w:val="both"/>
        <w:rPr>
          <w:sz w:val="24"/>
        </w:rPr>
      </w:pPr>
    </w:p>
    <w:p w14:paraId="38F9AAE4" w14:textId="77777777" w:rsidR="006D6D2D" w:rsidRPr="007E3907" w:rsidRDefault="006D6D2D" w:rsidP="005606F2">
      <w:pPr>
        <w:jc w:val="both"/>
        <w:rPr>
          <w:sz w:val="24"/>
        </w:rPr>
      </w:pPr>
      <w:r w:rsidRPr="007E3907">
        <w:rPr>
          <w:sz w:val="24"/>
          <w:highlight w:val="red"/>
        </w:rPr>
        <w:t>Rødt</w:t>
      </w:r>
      <w:r w:rsidRPr="007E3907">
        <w:rPr>
          <w:sz w:val="24"/>
        </w:rPr>
        <w:t xml:space="preserve">: Risikoreduserende tiltak skal iverksettes. </w:t>
      </w:r>
      <w:r w:rsidRPr="007E3907">
        <w:rPr>
          <w:sz w:val="24"/>
          <w:highlight w:val="yellow"/>
        </w:rPr>
        <w:t>Gult</w:t>
      </w:r>
      <w:r w:rsidRPr="007E3907">
        <w:rPr>
          <w:sz w:val="24"/>
        </w:rPr>
        <w:t xml:space="preserve">: Risikoreduserende tiltak skal vurderes. </w:t>
      </w:r>
      <w:r w:rsidRPr="007E3907">
        <w:rPr>
          <w:sz w:val="24"/>
          <w:highlight w:val="green"/>
        </w:rPr>
        <w:t>Grønt</w:t>
      </w:r>
      <w:r w:rsidRPr="007E3907">
        <w:rPr>
          <w:sz w:val="24"/>
        </w:rPr>
        <w:t>: Risikoreduserende tiltak er ikke nødvendig.</w:t>
      </w:r>
      <w:r>
        <w:rPr>
          <w:sz w:val="24"/>
        </w:rPr>
        <w:t xml:space="preserve"> </w:t>
      </w:r>
    </w:p>
    <w:p w14:paraId="5D1DAFF6" w14:textId="50CA1002" w:rsidR="006D6D2D" w:rsidRPr="005606F2" w:rsidRDefault="005606F2" w:rsidP="005606F2">
      <w:pPr>
        <w:jc w:val="both"/>
        <w:rPr>
          <w:sz w:val="24"/>
        </w:rPr>
      </w:pPr>
      <w:r w:rsidRPr="005606F2">
        <w:rPr>
          <w:sz w:val="24"/>
        </w:rPr>
        <w:t xml:space="preserve">Erfaringer fra en </w:t>
      </w:r>
      <w:r>
        <w:rPr>
          <w:sz w:val="24"/>
        </w:rPr>
        <w:t xml:space="preserve">gjennomførte ROS-analyser hos vannverk viser at det er mange som blander sammen begrepene sannsynlighet, konsekvens og risiko. Figur 4 illustrerer begrepene og bør danne et felles utgangspunkt før en begynner med ROS- analysen.  </w:t>
      </w:r>
    </w:p>
    <w:p w14:paraId="56F466FA" w14:textId="4E582C64" w:rsidR="006D6D2D" w:rsidRDefault="006D6D2D" w:rsidP="005606F2">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8" w:lineRule="auto"/>
        <w:jc w:val="both"/>
      </w:pPr>
      <w:r>
        <w:rPr>
          <w:sz w:val="24"/>
        </w:rPr>
        <w:t xml:space="preserve">Det antas at Mattilsynets veiledning fra 2006 </w:t>
      </w:r>
      <w:r w:rsidRPr="00816AC1">
        <w:rPr>
          <w:sz w:val="24"/>
        </w:rPr>
        <w:t xml:space="preserve">vil bli revidert i årene som kommer og arbeidet i dette Norsk Vann prosjektet er kompatibelt med en slik revisjon. </w:t>
      </w:r>
      <w:r w:rsidRPr="00646893">
        <w:rPr>
          <w:sz w:val="24"/>
        </w:rPr>
        <w:t xml:space="preserve">Det har hendt store endringer når det gjelder akseptabel risiko innen Vannbransjen siden denne veiledningen ble skrevet, særlig knyttet til samfunnssikkerhet. De nye standardene knyttet til Samfunnssikkerhet – beskyttelse mot tilsiktede uønskede handlinger (NS5830-serien) bør følgelig vektlegges og implementeres i metodeverket og akseptkriteriene som benyttes. Dagens veiledning fra Mattilsynet er ikke oppdatert på dette feltet. I </w:t>
      </w:r>
      <w:r w:rsidR="00B87EE8">
        <w:rPr>
          <w:sz w:val="24"/>
        </w:rPr>
        <w:t xml:space="preserve">ny </w:t>
      </w:r>
      <w:r w:rsidRPr="00646893">
        <w:rPr>
          <w:sz w:val="24"/>
        </w:rPr>
        <w:t xml:space="preserve">ny drikkevannsforskrift </w:t>
      </w:r>
      <w:r w:rsidR="00B87EE8">
        <w:rPr>
          <w:sz w:val="24"/>
        </w:rPr>
        <w:t xml:space="preserve">som er på høring våren 2016 har en inkludert </w:t>
      </w:r>
      <w:r w:rsidRPr="00646893">
        <w:rPr>
          <w:sz w:val="24"/>
        </w:rPr>
        <w:t>elementer fra WHOs Water Safety Plans (WSP) og prinsipper fra HACCP-konseptet (Hazard Analysis and Critical Control Points). I Danmark er blant annet dette ut</w:t>
      </w:r>
      <w:r>
        <w:rPr>
          <w:sz w:val="24"/>
        </w:rPr>
        <w:t>ført via DANVA sin veiledning "</w:t>
      </w:r>
      <w:r w:rsidRPr="00646893">
        <w:rPr>
          <w:sz w:val="24"/>
        </w:rPr>
        <w:t>Vejledning i sikring af drikkevands-kvalitet (Dokumenteret Drikkevands-Sikkerhed - DDS)</w:t>
      </w:r>
      <w:r>
        <w:rPr>
          <w:rStyle w:val="FootnoteReference"/>
          <w:sz w:val="24"/>
        </w:rPr>
        <w:footnoteReference w:id="2"/>
      </w:r>
      <w:r w:rsidRPr="00646893">
        <w:rPr>
          <w:sz w:val="24"/>
        </w:rPr>
        <w:t>. Den</w:t>
      </w:r>
      <w:r w:rsidR="00B87EE8">
        <w:rPr>
          <w:sz w:val="24"/>
        </w:rPr>
        <w:t>ne veiledningen er også anvendt</w:t>
      </w:r>
      <w:r w:rsidRPr="00646893">
        <w:rPr>
          <w:sz w:val="24"/>
        </w:rPr>
        <w:t xml:space="preserve"> </w:t>
      </w:r>
      <w:r>
        <w:rPr>
          <w:sz w:val="24"/>
        </w:rPr>
        <w:t>for en del</w:t>
      </w:r>
      <w:r w:rsidR="005606F2">
        <w:rPr>
          <w:sz w:val="24"/>
        </w:rPr>
        <w:t>0020</w:t>
      </w:r>
      <w:r>
        <w:rPr>
          <w:sz w:val="24"/>
        </w:rPr>
        <w:t>vannverk i Norge.</w:t>
      </w:r>
    </w:p>
    <w:p w14:paraId="11EEE2F0" w14:textId="77777777" w:rsidR="006D6D2D" w:rsidRDefault="006D6D2D" w:rsidP="008F7A6B">
      <w:pPr>
        <w:pStyle w:val="Heading1"/>
      </w:pPr>
      <w:bookmarkStart w:id="10" w:name="_Toc442299938"/>
      <w:r>
        <w:t>Identifisering av uønskede hendelser</w:t>
      </w:r>
      <w:bookmarkEnd w:id="10"/>
    </w:p>
    <w:p w14:paraId="09390BA5" w14:textId="4599C731" w:rsidR="006D6D2D" w:rsidRPr="00B87EE8" w:rsidRDefault="006D6D2D" w:rsidP="006A29C9">
      <w:pPr>
        <w:jc w:val="both"/>
        <w:rPr>
          <w:sz w:val="24"/>
        </w:rPr>
      </w:pPr>
      <w:r w:rsidRPr="00B87EE8">
        <w:rPr>
          <w:sz w:val="24"/>
        </w:rPr>
        <w:t xml:space="preserve">I prosessen med å identifisere mulige uønskede hendelser/svikt </w:t>
      </w:r>
      <w:r w:rsidR="00543356">
        <w:rPr>
          <w:sz w:val="24"/>
        </w:rPr>
        <w:t xml:space="preserve">er det viktig at en går systematisk til verks og følger vannets gang fra nedbørfelt, kilde, vannbehandlingsanlegg, distribusjonssystem. Ulike sjekklister er tilgjengelig for eksempel </w:t>
      </w:r>
      <w:r w:rsidR="006A29C9">
        <w:rPr>
          <w:sz w:val="24"/>
        </w:rPr>
        <w:t xml:space="preserve">har en i </w:t>
      </w:r>
      <w:r w:rsidRPr="00B87EE8">
        <w:rPr>
          <w:sz w:val="24"/>
        </w:rPr>
        <w:t xml:space="preserve">EU prosjektet PREPARED utviklet en omfattende database for uønskede hendelser som kan oppstå innen vann og avløp. Hendelsene er registrerte som et regneark og kan lastes ned via: </w:t>
      </w:r>
      <w:hyperlink r:id="rId14" w:history="1">
        <w:r w:rsidRPr="00B87EE8">
          <w:rPr>
            <w:rStyle w:val="Hyperlink"/>
            <w:sz w:val="24"/>
          </w:rPr>
          <w:t>http://wcsp.eu/WCSP/WCSP_Framework.html</w:t>
        </w:r>
      </w:hyperlink>
      <w:r w:rsidRPr="00B87EE8">
        <w:rPr>
          <w:sz w:val="24"/>
        </w:rPr>
        <w:t xml:space="preserve"> ved å laste ned filen "Risk identification database". Databasen kan brukes som en sjekkliste for å vurdere om de mest aktuelle hendelsene er med i egen analyse. </w:t>
      </w:r>
    </w:p>
    <w:p w14:paraId="7D14DCC9" w14:textId="4451475A" w:rsidR="006D6D2D" w:rsidRDefault="006D6D2D" w:rsidP="008F7A6B">
      <w:pPr>
        <w:pStyle w:val="Heading2"/>
      </w:pPr>
      <w:bookmarkStart w:id="11" w:name="_Toc442299939"/>
      <w:r>
        <w:t xml:space="preserve">Eksempel </w:t>
      </w:r>
      <w:r w:rsidR="000A0624">
        <w:t>på hendelse</w:t>
      </w:r>
      <w:r w:rsidR="00DC699D">
        <w:t>r</w:t>
      </w:r>
      <w:r w:rsidR="000A0624">
        <w:t xml:space="preserve"> i </w:t>
      </w:r>
      <w:r>
        <w:t>nedbørfelt/vannkilde</w:t>
      </w:r>
      <w:bookmarkEnd w:id="11"/>
    </w:p>
    <w:p w14:paraId="2466F9C4" w14:textId="77777777" w:rsidR="006D6D2D" w:rsidRPr="00753D98" w:rsidRDefault="006D6D2D" w:rsidP="006D6D2D">
      <w:pPr>
        <w:spacing w:line="288" w:lineRule="auto"/>
        <w:jc w:val="both"/>
        <w:rPr>
          <w:rFonts w:eastAsia="Calibri"/>
          <w:sz w:val="24"/>
        </w:rPr>
      </w:pPr>
      <w:r w:rsidRPr="00753D98">
        <w:rPr>
          <w:rFonts w:eastAsia="Calibri"/>
          <w:sz w:val="24"/>
        </w:rPr>
        <w:t>Av og til</w:t>
      </w:r>
      <w:r>
        <w:rPr>
          <w:rFonts w:eastAsia="Calibri"/>
          <w:sz w:val="24"/>
        </w:rPr>
        <w:t xml:space="preserve"> – og over kortere eller lengre tidsrom -</w:t>
      </w:r>
      <w:r w:rsidRPr="00753D98">
        <w:rPr>
          <w:rFonts w:eastAsia="Calibri"/>
          <w:sz w:val="24"/>
        </w:rPr>
        <w:t xml:space="preserve"> vil kilden ikke </w:t>
      </w:r>
      <w:r>
        <w:rPr>
          <w:rFonts w:eastAsia="Calibri"/>
          <w:sz w:val="24"/>
        </w:rPr>
        <w:t xml:space="preserve">representere en </w:t>
      </w:r>
      <w:r w:rsidRPr="00753D98">
        <w:rPr>
          <w:rFonts w:eastAsia="Calibri"/>
          <w:sz w:val="24"/>
        </w:rPr>
        <w:t>hygienisk barriere</w:t>
      </w:r>
      <w:r>
        <w:rPr>
          <w:rFonts w:eastAsia="Calibri"/>
          <w:sz w:val="24"/>
        </w:rPr>
        <w:t xml:space="preserve">. Det kan forekomme vipping av sprangsjiktet som medfører at overflatevann kan nå inntaket. Dette hendte for eksempel i </w:t>
      </w:r>
      <w:r w:rsidRPr="00753D98">
        <w:rPr>
          <w:rFonts w:eastAsia="Calibri"/>
          <w:sz w:val="24"/>
        </w:rPr>
        <w:t>Jonsvatnet</w:t>
      </w:r>
      <w:r>
        <w:rPr>
          <w:rFonts w:eastAsia="Calibri"/>
          <w:sz w:val="24"/>
        </w:rPr>
        <w:t xml:space="preserve"> (Trondheim) i 2007 hvor kraftig </w:t>
      </w:r>
      <w:r w:rsidRPr="00753D98">
        <w:rPr>
          <w:rFonts w:eastAsia="Calibri"/>
          <w:sz w:val="24"/>
        </w:rPr>
        <w:t xml:space="preserve">vind </w:t>
      </w:r>
      <w:r>
        <w:rPr>
          <w:rFonts w:eastAsia="Calibri"/>
          <w:sz w:val="24"/>
        </w:rPr>
        <w:t xml:space="preserve">medførte en vipping av sprangsjiktet, noe som medførte at en i en periode på 18 timer tok inn </w:t>
      </w:r>
      <w:r w:rsidRPr="00753D98">
        <w:rPr>
          <w:rFonts w:eastAsia="Calibri"/>
          <w:sz w:val="24"/>
        </w:rPr>
        <w:t xml:space="preserve">overflatevann </w:t>
      </w:r>
      <w:r>
        <w:rPr>
          <w:rFonts w:eastAsia="Calibri"/>
          <w:sz w:val="24"/>
        </w:rPr>
        <w:t xml:space="preserve">ved inntaket på </w:t>
      </w:r>
      <w:r w:rsidRPr="00753D98">
        <w:rPr>
          <w:rFonts w:eastAsia="Calibri"/>
          <w:sz w:val="24"/>
        </w:rPr>
        <w:t>50</w:t>
      </w:r>
      <w:r>
        <w:rPr>
          <w:rFonts w:eastAsia="Calibri"/>
          <w:sz w:val="24"/>
        </w:rPr>
        <w:t xml:space="preserve"> meters dyp (</w:t>
      </w:r>
      <w:r>
        <w:rPr>
          <w:rFonts w:eastAsia="Calibri"/>
          <w:sz w:val="24"/>
        </w:rPr>
        <w:fldChar w:fldCharType="begin"/>
      </w:r>
      <w:r>
        <w:rPr>
          <w:rFonts w:eastAsia="Calibri"/>
          <w:sz w:val="24"/>
        </w:rPr>
        <w:instrText xml:space="preserve"> REF _Ref431051198 \h </w:instrText>
      </w:r>
      <w:r>
        <w:rPr>
          <w:rFonts w:eastAsia="Calibri"/>
          <w:sz w:val="24"/>
        </w:rPr>
      </w:r>
      <w:r>
        <w:rPr>
          <w:rFonts w:eastAsia="Calibri"/>
          <w:sz w:val="24"/>
        </w:rPr>
        <w:fldChar w:fldCharType="separate"/>
      </w:r>
      <w:r>
        <w:t xml:space="preserve">Figur </w:t>
      </w:r>
      <w:r>
        <w:rPr>
          <w:noProof/>
        </w:rPr>
        <w:t>6</w:t>
      </w:r>
      <w:r>
        <w:rPr>
          <w:rFonts w:eastAsia="Calibri"/>
          <w:sz w:val="24"/>
        </w:rPr>
        <w:fldChar w:fldCharType="end"/>
      </w:r>
      <w:r>
        <w:rPr>
          <w:rFonts w:eastAsia="Calibri"/>
          <w:sz w:val="24"/>
        </w:rPr>
        <w:t>). I denne perioden målte vannverket en rask og betydelig økning i turbiditet og vanntemperatur. Temperatur og turbiditet er således gode indikatorer for å identifisere slike hendelser.</w:t>
      </w:r>
    </w:p>
    <w:p w14:paraId="1D8899AA" w14:textId="77777777" w:rsidR="006D6D2D" w:rsidRDefault="006D6D2D" w:rsidP="006D6D2D">
      <w:pPr>
        <w:spacing w:line="288" w:lineRule="auto"/>
        <w:jc w:val="both"/>
        <w:rPr>
          <w:rFonts w:eastAsia="Calibri"/>
          <w:b/>
          <w:sz w:val="24"/>
        </w:rPr>
      </w:pPr>
      <w:r w:rsidRPr="00120FF0">
        <w:rPr>
          <w:noProof/>
          <w:lang w:val="en-US"/>
        </w:rPr>
        <w:drawing>
          <wp:inline distT="0" distB="0" distL="0" distR="0" wp14:anchorId="7168F72A" wp14:editId="62DF03B0">
            <wp:extent cx="4156770" cy="2187099"/>
            <wp:effectExtent l="0" t="0" r="0" b="3810"/>
            <wp:docPr id="151347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478" name="Picture 6"/>
                    <pic:cNvPicPr>
                      <a:picLocks noChangeAspect="1" noChangeArrowheads="1"/>
                    </pic:cNvPicPr>
                  </pic:nvPicPr>
                  <pic:blipFill>
                    <a:blip r:embed="rId15" cstate="print"/>
                    <a:srcRect l="10408" t="10327" r="14949" b="44070"/>
                    <a:stretch>
                      <a:fillRect/>
                    </a:stretch>
                  </pic:blipFill>
                  <pic:spPr bwMode="auto">
                    <a:xfrm>
                      <a:off x="0" y="0"/>
                      <a:ext cx="4154900" cy="2186115"/>
                    </a:xfrm>
                    <a:prstGeom prst="rect">
                      <a:avLst/>
                    </a:prstGeom>
                    <a:noFill/>
                    <a:ln w="9525">
                      <a:noFill/>
                      <a:miter lim="800000"/>
                      <a:headEnd/>
                      <a:tailEnd/>
                    </a:ln>
                    <a:effectLst/>
                  </pic:spPr>
                </pic:pic>
              </a:graphicData>
            </a:graphic>
          </wp:inline>
        </w:drawing>
      </w:r>
    </w:p>
    <w:p w14:paraId="1C7BD0D9" w14:textId="77777777" w:rsidR="006D6D2D" w:rsidRDefault="006D6D2D" w:rsidP="006D6D2D">
      <w:pPr>
        <w:pStyle w:val="Caption"/>
        <w:rPr>
          <w:rFonts w:eastAsia="Calibri"/>
          <w:b w:val="0"/>
        </w:rPr>
      </w:pPr>
      <w:bookmarkStart w:id="12" w:name="_Ref431051198"/>
      <w:r>
        <w:t xml:space="preserve">Figur </w:t>
      </w:r>
      <w:fldSimple w:instr=" SEQ Figur \* ARABIC ">
        <w:r>
          <w:rPr>
            <w:noProof/>
          </w:rPr>
          <w:t>6</w:t>
        </w:r>
      </w:fldSimple>
      <w:bookmarkEnd w:id="12"/>
      <w:r>
        <w:t>. Hendelse i 2011 hvor en fikk vipping av sprangsjiktet pga vind (Trondheim kommune)</w:t>
      </w:r>
    </w:p>
    <w:p w14:paraId="5507D040" w14:textId="77777777" w:rsidR="006D6D2D" w:rsidRDefault="006D6D2D" w:rsidP="006D6D2D">
      <w:pPr>
        <w:spacing w:line="288" w:lineRule="auto"/>
        <w:jc w:val="both"/>
        <w:rPr>
          <w:rFonts w:eastAsia="Calibri"/>
          <w:sz w:val="24"/>
        </w:rPr>
      </w:pPr>
      <w:r>
        <w:rPr>
          <w:rFonts w:eastAsia="Calibri"/>
          <w:sz w:val="24"/>
        </w:rPr>
        <w:t xml:space="preserve">En annen hendelse i samme vannkilde skjedde vinteren 2014 hvor langvarig sterk vind kombinert med en kortvarig, sterk kuldeperiode medførte en kraftig nedkjøling av hele vannmassen i Jonsvatnet. På grunn av den sterke vinden la det seg ikke is på vannet og vanntemperaturen selv på 50 meters dyp var på det laveste nede i 0,26 </w:t>
      </w:r>
      <w:r>
        <w:rPr>
          <w:rFonts w:eastAsia="Calibri"/>
          <w:sz w:val="24"/>
        </w:rPr>
        <w:sym w:font="Symbol" w:char="F0B0"/>
      </w:r>
      <w:r>
        <w:rPr>
          <w:rFonts w:eastAsia="Calibri"/>
          <w:sz w:val="24"/>
        </w:rPr>
        <w:t>C (</w:t>
      </w:r>
      <w:r>
        <w:rPr>
          <w:rFonts w:eastAsia="Calibri"/>
          <w:sz w:val="24"/>
        </w:rPr>
        <w:fldChar w:fldCharType="begin"/>
      </w:r>
      <w:r>
        <w:rPr>
          <w:rFonts w:eastAsia="Calibri"/>
          <w:sz w:val="24"/>
        </w:rPr>
        <w:instrText xml:space="preserve"> REF _Ref431051955 \h </w:instrText>
      </w:r>
      <w:r>
        <w:rPr>
          <w:rFonts w:eastAsia="Calibri"/>
          <w:sz w:val="24"/>
        </w:rPr>
      </w:r>
      <w:r>
        <w:rPr>
          <w:rFonts w:eastAsia="Calibri"/>
          <w:sz w:val="24"/>
        </w:rPr>
        <w:fldChar w:fldCharType="separate"/>
      </w:r>
      <w:r>
        <w:t xml:space="preserve">Figur </w:t>
      </w:r>
      <w:r>
        <w:rPr>
          <w:noProof/>
        </w:rPr>
        <w:t>7</w:t>
      </w:r>
      <w:r>
        <w:rPr>
          <w:rFonts w:eastAsia="Calibri"/>
          <w:sz w:val="24"/>
        </w:rPr>
        <w:fldChar w:fldCharType="end"/>
      </w:r>
      <w:r>
        <w:rPr>
          <w:rFonts w:eastAsia="Calibri"/>
          <w:sz w:val="24"/>
        </w:rPr>
        <w:t xml:space="preserve">). I denne perioden, som strekte seg over flere måneder, var det </w:t>
      </w:r>
      <w:r w:rsidRPr="0065076F">
        <w:rPr>
          <w:rFonts w:eastAsia="Calibri"/>
          <w:sz w:val="24"/>
        </w:rPr>
        <w:t>ikke et godt definert sprangsjikt i vannkilden siden hele vannmassen/vannsøylen ha</w:t>
      </w:r>
      <w:r>
        <w:rPr>
          <w:rFonts w:eastAsia="Calibri"/>
          <w:sz w:val="24"/>
        </w:rPr>
        <w:t xml:space="preserve">dde </w:t>
      </w:r>
      <w:r w:rsidRPr="0065076F">
        <w:rPr>
          <w:rFonts w:eastAsia="Calibri"/>
          <w:sz w:val="24"/>
        </w:rPr>
        <w:t>omlag samme temperatur.</w:t>
      </w:r>
      <w:r>
        <w:rPr>
          <w:rFonts w:eastAsia="Calibri"/>
          <w:sz w:val="24"/>
        </w:rPr>
        <w:t xml:space="preserve"> En eventuell forurensing av overflatevannet i denne perioden ville derfor fort ha kunnet nå inntaket. </w:t>
      </w:r>
    </w:p>
    <w:p w14:paraId="27CD02AA" w14:textId="77777777" w:rsidR="006D6D2D" w:rsidRDefault="006D6D2D" w:rsidP="006D6D2D">
      <w:pPr>
        <w:spacing w:line="288" w:lineRule="auto"/>
        <w:jc w:val="both"/>
        <w:rPr>
          <w:rFonts w:eastAsia="Calibri"/>
          <w:sz w:val="24"/>
        </w:rPr>
      </w:pPr>
      <w:r>
        <w:rPr>
          <w:rFonts w:eastAsia="Calibri"/>
          <w:sz w:val="24"/>
        </w:rPr>
        <w:t xml:space="preserve">Drikkevannsforskriften setter krav til minst 2 hygieniske barrierer og </w:t>
      </w:r>
      <w:r w:rsidRPr="0065076F">
        <w:rPr>
          <w:rFonts w:eastAsia="Calibri"/>
          <w:sz w:val="24"/>
        </w:rPr>
        <w:t>stadig flere vannverk legger d</w:t>
      </w:r>
      <w:r>
        <w:rPr>
          <w:rFonts w:eastAsia="Calibri"/>
          <w:sz w:val="24"/>
        </w:rPr>
        <w:t xml:space="preserve">isse barrierene inn som </w:t>
      </w:r>
      <w:r w:rsidRPr="0065076F">
        <w:rPr>
          <w:rFonts w:eastAsia="Calibri"/>
          <w:sz w:val="24"/>
        </w:rPr>
        <w:t>vannbehandlings- og desinfeksjonsbarrierer</w:t>
      </w:r>
      <w:r>
        <w:rPr>
          <w:rFonts w:eastAsia="Calibri"/>
          <w:sz w:val="24"/>
        </w:rPr>
        <w:t xml:space="preserve"> og ikke nedbørfelt/vannkilde</w:t>
      </w:r>
      <w:r w:rsidRPr="0065076F">
        <w:rPr>
          <w:rFonts w:eastAsia="Calibri"/>
          <w:sz w:val="24"/>
        </w:rPr>
        <w:t xml:space="preserve">. Dette fordi selv store vannkilder med dypvannsinntak i mange tilfeller ikke lenger kan anses som gode og stabile barrierer, særlig ikke i sirkulasjonsperiodene som opptrer hver vår og høst. </w:t>
      </w:r>
      <w:r>
        <w:rPr>
          <w:rFonts w:eastAsia="Calibri"/>
          <w:sz w:val="24"/>
        </w:rPr>
        <w:t>Periodene med slike situasjoner vil opptre oftere i fremtiden s</w:t>
      </w:r>
      <w:r w:rsidRPr="0065076F">
        <w:rPr>
          <w:rFonts w:eastAsia="Calibri"/>
          <w:sz w:val="24"/>
        </w:rPr>
        <w:t xml:space="preserve">om </w:t>
      </w:r>
      <w:r>
        <w:rPr>
          <w:rFonts w:eastAsia="Calibri"/>
          <w:sz w:val="24"/>
        </w:rPr>
        <w:t xml:space="preserve">en </w:t>
      </w:r>
      <w:r w:rsidRPr="0065076F">
        <w:rPr>
          <w:rFonts w:eastAsia="Calibri"/>
          <w:sz w:val="24"/>
        </w:rPr>
        <w:t>følge av klimaendringer med milde vintre, manglende isdekke og mye vind</w:t>
      </w:r>
      <w:r>
        <w:rPr>
          <w:rFonts w:eastAsia="Calibri"/>
          <w:sz w:val="24"/>
        </w:rPr>
        <w:t>.</w:t>
      </w:r>
    </w:p>
    <w:p w14:paraId="7EEBFE4F" w14:textId="77777777" w:rsidR="006D6D2D" w:rsidRDefault="006D6D2D" w:rsidP="006D6D2D">
      <w:pPr>
        <w:spacing w:line="288" w:lineRule="auto"/>
        <w:jc w:val="both"/>
        <w:rPr>
          <w:rFonts w:eastAsia="Calibri"/>
          <w:sz w:val="24"/>
        </w:rPr>
      </w:pPr>
    </w:p>
    <w:p w14:paraId="3E8812A3" w14:textId="77777777" w:rsidR="006D6D2D" w:rsidRDefault="006D6D2D" w:rsidP="006D6D2D">
      <w:pPr>
        <w:spacing w:line="288" w:lineRule="auto"/>
        <w:jc w:val="both"/>
        <w:rPr>
          <w:rFonts w:eastAsia="Calibri"/>
          <w:b/>
          <w:sz w:val="24"/>
        </w:rPr>
      </w:pPr>
      <w:r>
        <w:rPr>
          <w:rFonts w:eastAsia="Calibri"/>
          <w:b/>
          <w:noProof/>
          <w:sz w:val="24"/>
          <w:lang w:val="en-US"/>
        </w:rPr>
        <w:drawing>
          <wp:inline distT="0" distB="0" distL="0" distR="0" wp14:anchorId="209D537A" wp14:editId="4E982F4F">
            <wp:extent cx="5220269" cy="278094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0747" cy="2781196"/>
                    </a:xfrm>
                    <a:prstGeom prst="rect">
                      <a:avLst/>
                    </a:prstGeom>
                    <a:noFill/>
                  </pic:spPr>
                </pic:pic>
              </a:graphicData>
            </a:graphic>
          </wp:inline>
        </w:drawing>
      </w:r>
    </w:p>
    <w:p w14:paraId="053FCD76" w14:textId="77777777" w:rsidR="006D6D2D" w:rsidRDefault="006D6D2D" w:rsidP="006D6D2D">
      <w:pPr>
        <w:pStyle w:val="Caption"/>
        <w:rPr>
          <w:rFonts w:eastAsia="Calibri"/>
          <w:b w:val="0"/>
        </w:rPr>
      </w:pPr>
      <w:bookmarkStart w:id="13" w:name="_Ref431051955"/>
      <w:r>
        <w:t xml:space="preserve">Figur </w:t>
      </w:r>
      <w:fldSimple w:instr=" SEQ Figur \* ARABIC ">
        <w:r>
          <w:rPr>
            <w:noProof/>
          </w:rPr>
          <w:t>7</w:t>
        </w:r>
      </w:fldSimple>
      <w:bookmarkEnd w:id="13"/>
      <w:r>
        <w:t>. Råvannstemperatur VIVA for perioden 01.01.2014 - 26.03.2014 (Eikebrokk 2014, etter data fra Trondheim kommune)</w:t>
      </w:r>
    </w:p>
    <w:p w14:paraId="7BB9DDF6" w14:textId="77777777" w:rsidR="006D6D2D" w:rsidRDefault="006D6D2D" w:rsidP="006D6D2D">
      <w:pPr>
        <w:spacing w:line="288" w:lineRule="auto"/>
        <w:jc w:val="both"/>
        <w:rPr>
          <w:rFonts w:eastAsia="Calibri"/>
          <w:sz w:val="24"/>
        </w:rPr>
      </w:pPr>
    </w:p>
    <w:p w14:paraId="24852C1E" w14:textId="77777777" w:rsidR="006D6D2D" w:rsidRDefault="006D6D2D" w:rsidP="006D6D2D">
      <w:pPr>
        <w:spacing w:line="288" w:lineRule="auto"/>
        <w:jc w:val="both"/>
        <w:rPr>
          <w:rFonts w:eastAsia="Calibri"/>
          <w:sz w:val="24"/>
        </w:rPr>
      </w:pPr>
      <w:r>
        <w:rPr>
          <w:rFonts w:eastAsia="Calibri"/>
          <w:sz w:val="24"/>
        </w:rPr>
        <w:t xml:space="preserve">I perioder hvor sprangsjiktet er svakt/ikke til stede, vil eventuell forurensing </w:t>
      </w:r>
      <w:r w:rsidRPr="00FA122D">
        <w:rPr>
          <w:rFonts w:eastAsia="Calibri"/>
          <w:sz w:val="24"/>
        </w:rPr>
        <w:t>fort kunne nå inntaket. Det er viktig å være klar over at en del langlivede parasitter (</w:t>
      </w:r>
      <w:r w:rsidRPr="00FA122D">
        <w:rPr>
          <w:rFonts w:eastAsia="Calibri"/>
          <w:i/>
          <w:sz w:val="24"/>
        </w:rPr>
        <w:t>Cryptosporidium</w:t>
      </w:r>
      <w:r w:rsidRPr="00FA122D">
        <w:rPr>
          <w:rFonts w:eastAsia="Calibri"/>
          <w:sz w:val="24"/>
        </w:rPr>
        <w:t xml:space="preserve"> og </w:t>
      </w:r>
      <w:r w:rsidRPr="00FA122D">
        <w:rPr>
          <w:rFonts w:eastAsia="Calibri"/>
          <w:i/>
          <w:sz w:val="24"/>
        </w:rPr>
        <w:t>Giardia</w:t>
      </w:r>
      <w:r w:rsidRPr="00FA122D">
        <w:rPr>
          <w:rFonts w:eastAsia="Calibri"/>
          <w:sz w:val="24"/>
        </w:rPr>
        <w:t xml:space="preserve">) og langlivede virus (f.eks. </w:t>
      </w:r>
      <w:r w:rsidRPr="00FA122D">
        <w:rPr>
          <w:rFonts w:eastAsia="Calibri"/>
          <w:i/>
          <w:sz w:val="24"/>
        </w:rPr>
        <w:t>Norovirus</w:t>
      </w:r>
      <w:r w:rsidRPr="00FA122D">
        <w:rPr>
          <w:rFonts w:eastAsia="Calibri"/>
          <w:sz w:val="24"/>
        </w:rPr>
        <w:t>) kan overlever flere måneder</w:t>
      </w:r>
      <w:r>
        <w:rPr>
          <w:rFonts w:eastAsia="Calibri"/>
          <w:sz w:val="24"/>
        </w:rPr>
        <w:t xml:space="preserve"> i vann</w:t>
      </w:r>
      <w:r w:rsidRPr="00FA122D">
        <w:rPr>
          <w:rFonts w:eastAsia="Calibri"/>
          <w:sz w:val="24"/>
        </w:rPr>
        <w:t xml:space="preserve">. Dette betyr at et eventuelt utslipp av mikrobiell forurensing </w:t>
      </w:r>
      <w:r>
        <w:rPr>
          <w:rFonts w:eastAsia="Calibri"/>
          <w:sz w:val="24"/>
        </w:rPr>
        <w:t xml:space="preserve">kan innebære risiko selv om det </w:t>
      </w:r>
      <w:r w:rsidRPr="00FA122D">
        <w:rPr>
          <w:rFonts w:eastAsia="Calibri"/>
          <w:sz w:val="24"/>
        </w:rPr>
        <w:t>skjedd</w:t>
      </w:r>
      <w:r>
        <w:rPr>
          <w:rFonts w:eastAsia="Calibri"/>
          <w:sz w:val="24"/>
        </w:rPr>
        <w:t>e</w:t>
      </w:r>
      <w:r w:rsidRPr="00FA122D">
        <w:rPr>
          <w:rFonts w:eastAsia="Calibri"/>
          <w:sz w:val="24"/>
        </w:rPr>
        <w:t xml:space="preserve"> flere måneder i forkant av en hendelse hvor sprangsjiktet vipper. </w:t>
      </w:r>
    </w:p>
    <w:p w14:paraId="23FA3738" w14:textId="77777777" w:rsidR="006D6D2D" w:rsidRDefault="006D6D2D" w:rsidP="006D6D2D">
      <w:pPr>
        <w:spacing w:line="288" w:lineRule="auto"/>
        <w:jc w:val="both"/>
        <w:rPr>
          <w:rFonts w:eastAsia="Calibri"/>
          <w:sz w:val="24"/>
        </w:rPr>
      </w:pPr>
      <w:r w:rsidRPr="00C444AF">
        <w:rPr>
          <w:rFonts w:eastAsia="Calibri"/>
          <w:sz w:val="24"/>
        </w:rPr>
        <w:t xml:space="preserve">De </w:t>
      </w:r>
      <w:r>
        <w:rPr>
          <w:rFonts w:eastAsia="Calibri"/>
          <w:sz w:val="24"/>
        </w:rPr>
        <w:t xml:space="preserve">uønskede </w:t>
      </w:r>
      <w:r w:rsidRPr="00C444AF">
        <w:rPr>
          <w:rFonts w:eastAsia="Calibri"/>
          <w:sz w:val="24"/>
        </w:rPr>
        <w:t xml:space="preserve">hendelsene som </w:t>
      </w:r>
      <w:r>
        <w:rPr>
          <w:rFonts w:eastAsia="Calibri"/>
          <w:sz w:val="24"/>
        </w:rPr>
        <w:t>må vurderes i nedbørfelt/vannkilde er for eksempel:</w:t>
      </w:r>
    </w:p>
    <w:p w14:paraId="51251B49"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Naturlig forurensning (fugler og dyr, fisker, NOM, atmosfærisk nedfall)</w:t>
      </w:r>
    </w:p>
    <w:p w14:paraId="1794A55A"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 xml:space="preserve">Bosetning (fastboende, hytter, </w:t>
      </w:r>
      <w:r>
        <w:rPr>
          <w:rFonts w:eastAsia="Calibri"/>
          <w:sz w:val="24"/>
        </w:rPr>
        <w:t>a</w:t>
      </w:r>
      <w:r w:rsidRPr="006B72F1">
        <w:rPr>
          <w:rFonts w:eastAsia="Calibri"/>
          <w:sz w:val="24"/>
        </w:rPr>
        <w:t>vløpsforhold)</w:t>
      </w:r>
    </w:p>
    <w:p w14:paraId="3C981B67"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Landbruksforurensning (gjødsel, sprøytemidler, avrenning, husdyrhold, naturgjødsel)</w:t>
      </w:r>
    </w:p>
    <w:p w14:paraId="3260109E"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Skogsdrift (skogsbilveger, skjøtsel av plantefelt)</w:t>
      </w:r>
    </w:p>
    <w:p w14:paraId="2A6A3AD7"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Veger og vegtrafikk (trafikk type og omfang)</w:t>
      </w:r>
    </w:p>
    <w:p w14:paraId="486021D9"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Industri</w:t>
      </w:r>
    </w:p>
    <w:p w14:paraId="2AFF5035" w14:textId="77777777" w:rsidR="006D6D2D" w:rsidRPr="006B72F1" w:rsidRDefault="006D6D2D" w:rsidP="006D6D2D">
      <w:pPr>
        <w:pStyle w:val="ListParagraph"/>
        <w:numPr>
          <w:ilvl w:val="0"/>
          <w:numId w:val="19"/>
        </w:numPr>
        <w:spacing w:line="288" w:lineRule="auto"/>
        <w:jc w:val="both"/>
        <w:rPr>
          <w:rFonts w:eastAsia="Calibri"/>
          <w:sz w:val="24"/>
        </w:rPr>
      </w:pPr>
      <w:r w:rsidRPr="006B72F1">
        <w:rPr>
          <w:rFonts w:eastAsia="Calibri"/>
          <w:sz w:val="24"/>
        </w:rPr>
        <w:t>Annen næringsvirksomhet (foreningshytter og serveringssteder)</w:t>
      </w:r>
    </w:p>
    <w:p w14:paraId="1FB4DAF2" w14:textId="77777777" w:rsidR="006D6D2D" w:rsidRDefault="006D6D2D" w:rsidP="006D6D2D">
      <w:pPr>
        <w:pStyle w:val="ListParagraph"/>
        <w:numPr>
          <w:ilvl w:val="0"/>
          <w:numId w:val="19"/>
        </w:numPr>
        <w:spacing w:line="288" w:lineRule="auto"/>
        <w:jc w:val="both"/>
        <w:rPr>
          <w:rFonts w:eastAsia="Calibri"/>
          <w:sz w:val="24"/>
        </w:rPr>
      </w:pPr>
      <w:r w:rsidRPr="006B72F1">
        <w:rPr>
          <w:rFonts w:eastAsia="Calibri"/>
          <w:sz w:val="24"/>
        </w:rPr>
        <w:t>Friluftsliv og sport (fiske, sykling, friluftsliv, bading, hestesport, m</w:t>
      </w:r>
      <w:r>
        <w:rPr>
          <w:rFonts w:eastAsia="Calibri"/>
          <w:sz w:val="24"/>
        </w:rPr>
        <w:t>otorsport)</w:t>
      </w:r>
    </w:p>
    <w:p w14:paraId="784039A5" w14:textId="77777777" w:rsidR="006D6D2D" w:rsidRPr="00C444AF" w:rsidRDefault="006D6D2D" w:rsidP="006D6D2D">
      <w:pPr>
        <w:pStyle w:val="ListParagraph"/>
        <w:numPr>
          <w:ilvl w:val="0"/>
          <w:numId w:val="19"/>
        </w:numPr>
        <w:spacing w:line="288" w:lineRule="auto"/>
        <w:jc w:val="both"/>
        <w:rPr>
          <w:rFonts w:eastAsia="Calibri"/>
          <w:sz w:val="24"/>
        </w:rPr>
      </w:pPr>
      <w:r w:rsidRPr="00C444AF">
        <w:rPr>
          <w:rFonts w:eastAsia="Calibri"/>
          <w:sz w:val="24"/>
        </w:rPr>
        <w:t>Mindre sannsynlige hendelser som store ulykker og terror</w:t>
      </w:r>
    </w:p>
    <w:p w14:paraId="52F076EF" w14:textId="77777777" w:rsidR="006D6D2D" w:rsidRPr="00C444AF" w:rsidRDefault="006D6D2D" w:rsidP="006D6D2D">
      <w:pPr>
        <w:pStyle w:val="ListParagraph"/>
        <w:numPr>
          <w:ilvl w:val="0"/>
          <w:numId w:val="19"/>
        </w:numPr>
        <w:spacing w:line="288" w:lineRule="auto"/>
        <w:jc w:val="both"/>
        <w:rPr>
          <w:rFonts w:eastAsia="Calibri"/>
          <w:sz w:val="24"/>
        </w:rPr>
      </w:pPr>
      <w:r w:rsidRPr="00C444AF">
        <w:rPr>
          <w:rFonts w:eastAsia="Calibri"/>
          <w:sz w:val="24"/>
        </w:rPr>
        <w:t xml:space="preserve">Hendelser som medfører </w:t>
      </w:r>
      <w:r>
        <w:rPr>
          <w:rFonts w:eastAsia="Calibri"/>
          <w:sz w:val="24"/>
        </w:rPr>
        <w:t>vannmangel (dambrudd, tørke)</w:t>
      </w:r>
    </w:p>
    <w:p w14:paraId="6E0FA2BC" w14:textId="77777777" w:rsidR="006D6D2D" w:rsidRPr="00C444AF" w:rsidRDefault="006D6D2D" w:rsidP="006D6D2D">
      <w:pPr>
        <w:pStyle w:val="ListParagraph"/>
        <w:numPr>
          <w:ilvl w:val="0"/>
          <w:numId w:val="19"/>
        </w:numPr>
        <w:spacing w:line="288" w:lineRule="auto"/>
        <w:jc w:val="both"/>
        <w:rPr>
          <w:rFonts w:eastAsia="Calibri"/>
          <w:sz w:val="24"/>
        </w:rPr>
      </w:pPr>
      <w:r w:rsidRPr="00C444AF">
        <w:rPr>
          <w:rFonts w:eastAsia="Calibri"/>
          <w:sz w:val="24"/>
        </w:rPr>
        <w:t>Effekten av klimaendringer i nedbørfelt/vannkilder</w:t>
      </w:r>
    </w:p>
    <w:p w14:paraId="68E3066C" w14:textId="77777777" w:rsidR="006D6D2D" w:rsidRPr="0002780A" w:rsidRDefault="006D6D2D" w:rsidP="006D6D2D">
      <w:pPr>
        <w:pStyle w:val="ListParagraph"/>
        <w:numPr>
          <w:ilvl w:val="0"/>
          <w:numId w:val="19"/>
        </w:numPr>
        <w:spacing w:line="288" w:lineRule="auto"/>
        <w:jc w:val="both"/>
        <w:rPr>
          <w:rFonts w:eastAsia="Calibri"/>
          <w:sz w:val="24"/>
        </w:rPr>
      </w:pPr>
      <w:r>
        <w:rPr>
          <w:rFonts w:eastAsia="Calibri"/>
          <w:sz w:val="24"/>
        </w:rPr>
        <w:t>Innførsel av fremmede arter</w:t>
      </w:r>
    </w:p>
    <w:p w14:paraId="687A4E73" w14:textId="77777777" w:rsidR="006D6D2D" w:rsidRPr="00814211" w:rsidRDefault="006D6D2D" w:rsidP="006D6D2D">
      <w:pPr>
        <w:spacing w:line="288" w:lineRule="auto"/>
        <w:jc w:val="both"/>
        <w:rPr>
          <w:rFonts w:eastAsia="Calibri"/>
          <w:sz w:val="24"/>
        </w:rPr>
      </w:pPr>
    </w:p>
    <w:p w14:paraId="37207D3A" w14:textId="1ACDE60A" w:rsidR="006D6D2D" w:rsidRDefault="006D6D2D" w:rsidP="008F7A6B">
      <w:pPr>
        <w:pStyle w:val="Heading2"/>
      </w:pPr>
      <w:bookmarkStart w:id="14" w:name="_Toc442299940"/>
      <w:r>
        <w:t xml:space="preserve">Eksempler </w:t>
      </w:r>
      <w:r w:rsidR="000A0624">
        <w:t xml:space="preserve">på hendelser i </w:t>
      </w:r>
      <w:r>
        <w:t>vannbehandling</w:t>
      </w:r>
      <w:bookmarkEnd w:id="14"/>
      <w:r>
        <w:t xml:space="preserve"> </w:t>
      </w:r>
    </w:p>
    <w:p w14:paraId="7470DFAD" w14:textId="77777777" w:rsidR="006D6D2D" w:rsidRDefault="006D6D2D" w:rsidP="008F7A6B">
      <w:pPr>
        <w:pStyle w:val="Heading3"/>
      </w:pPr>
      <w:bookmarkStart w:id="15" w:name="_Toc342046427"/>
      <w:bookmarkStart w:id="16" w:name="_Toc387920794"/>
      <w:bookmarkStart w:id="17" w:name="_Toc391978826"/>
      <w:bookmarkStart w:id="18" w:name="_Toc442299941"/>
      <w:r>
        <w:t>Eksempler på svikt i koaguleringsbarrierer</w:t>
      </w:r>
      <w:bookmarkEnd w:id="15"/>
      <w:bookmarkEnd w:id="16"/>
      <w:bookmarkEnd w:id="17"/>
      <w:bookmarkEnd w:id="18"/>
    </w:p>
    <w:p w14:paraId="2941E63C" w14:textId="77777777" w:rsidR="006D6D2D" w:rsidRDefault="006D6D2D" w:rsidP="006D6D2D">
      <w:pPr>
        <w:spacing w:line="288" w:lineRule="auto"/>
        <w:jc w:val="both"/>
      </w:pPr>
      <w:r>
        <w:t>Mulige årsaker til s</w:t>
      </w:r>
      <w:r w:rsidRPr="00A71A4C">
        <w:t>vikt i koaguleringsbarrierer</w:t>
      </w:r>
      <w:r>
        <w:t xml:space="preserve"> er nærmere beskrevet i </w:t>
      </w:r>
      <w:r w:rsidRPr="00D965F1">
        <w:t>Norsk Vann-rapport 188</w:t>
      </w:r>
      <w:r>
        <w:t>/</w:t>
      </w:r>
      <w:r w:rsidRPr="00D965F1">
        <w:t>2012</w:t>
      </w:r>
      <w:r>
        <w:t xml:space="preserve">. </w:t>
      </w:r>
      <w:r w:rsidRPr="00D965F1">
        <w:t>Veiledning for drift av koaguleringsanlegg</w:t>
      </w:r>
      <w:r>
        <w:t xml:space="preserve"> (</w:t>
      </w:r>
      <w:r w:rsidRPr="00D965F1">
        <w:t>Eikebrokk, B. 2012)</w:t>
      </w:r>
      <w:r w:rsidRPr="00D965F1">
        <w:rPr>
          <w:rStyle w:val="FootnoteReference"/>
          <w:highlight w:val="yellow"/>
        </w:rPr>
        <w:footnoteReference w:id="3"/>
      </w:r>
      <w:r>
        <w:t xml:space="preserve">. Følgende årsaker til en mulig barrieresvikt kan være: </w:t>
      </w:r>
    </w:p>
    <w:p w14:paraId="602A6556" w14:textId="77777777" w:rsidR="006D6D2D" w:rsidRPr="003009F6" w:rsidRDefault="006D6D2D" w:rsidP="006D6D2D">
      <w:pPr>
        <w:pStyle w:val="ListParagraph"/>
        <w:numPr>
          <w:ilvl w:val="0"/>
          <w:numId w:val="23"/>
        </w:numPr>
        <w:spacing w:after="0" w:line="288" w:lineRule="auto"/>
      </w:pPr>
      <w:r w:rsidRPr="003009F6">
        <w:t>Hel eller delvis svikt i koaguleringen (ikke-optimale verdier for koagulantdose og/eller koagulerings-pH)</w:t>
      </w:r>
    </w:p>
    <w:p w14:paraId="557E7067" w14:textId="77777777" w:rsidR="006D6D2D" w:rsidRPr="003009F6" w:rsidRDefault="006D6D2D" w:rsidP="006D6D2D">
      <w:pPr>
        <w:pStyle w:val="ListParagraph"/>
        <w:numPr>
          <w:ilvl w:val="0"/>
          <w:numId w:val="23"/>
        </w:numPr>
        <w:spacing w:after="0" w:line="288" w:lineRule="auto"/>
      </w:pPr>
      <w:r w:rsidRPr="003009F6">
        <w:t>Under filtermodning</w:t>
      </w:r>
    </w:p>
    <w:p w14:paraId="6EAB094A" w14:textId="77777777" w:rsidR="006D6D2D" w:rsidRPr="003009F6" w:rsidRDefault="006D6D2D" w:rsidP="006D6D2D">
      <w:pPr>
        <w:pStyle w:val="ListParagraph"/>
        <w:numPr>
          <w:ilvl w:val="0"/>
          <w:numId w:val="23"/>
        </w:numPr>
        <w:spacing w:after="0" w:line="288" w:lineRule="auto"/>
      </w:pPr>
      <w:r w:rsidRPr="003009F6">
        <w:t>Ved gjennombrudd i filtre</w:t>
      </w:r>
    </w:p>
    <w:p w14:paraId="32904EF9" w14:textId="77777777" w:rsidR="006D6D2D" w:rsidRPr="003009F6" w:rsidRDefault="006D6D2D" w:rsidP="006D6D2D">
      <w:pPr>
        <w:pStyle w:val="ListParagraph"/>
        <w:numPr>
          <w:ilvl w:val="0"/>
          <w:numId w:val="23"/>
        </w:numPr>
        <w:spacing w:after="0" w:line="288" w:lineRule="auto"/>
      </w:pPr>
      <w:r w:rsidRPr="003009F6">
        <w:t>I perioder med støtbelastninger og (brå) hastighetsøkninger i filtertrinnet (eksempelvis ved innfasing av råvannspumper/pumpetrinn, og ved spyling av parallelle filterenheter)</w:t>
      </w:r>
    </w:p>
    <w:p w14:paraId="6532804B" w14:textId="77777777" w:rsidR="006D6D2D" w:rsidRPr="003009F6" w:rsidRDefault="006D6D2D" w:rsidP="006D6D2D">
      <w:pPr>
        <w:pStyle w:val="ListParagraph"/>
        <w:numPr>
          <w:ilvl w:val="0"/>
          <w:numId w:val="23"/>
        </w:numPr>
        <w:spacing w:after="0" w:line="288" w:lineRule="auto"/>
      </w:pPr>
      <w:r w:rsidRPr="003009F6">
        <w:t>Returstrømmer med ugunstig mengde og/eller sammensetning (spyleslam/ slambehandling)</w:t>
      </w:r>
    </w:p>
    <w:p w14:paraId="5D70B548" w14:textId="77777777" w:rsidR="006D6D2D" w:rsidRPr="003009F6" w:rsidRDefault="006D6D2D" w:rsidP="006D6D2D">
      <w:pPr>
        <w:pStyle w:val="ListParagraph"/>
        <w:numPr>
          <w:ilvl w:val="0"/>
          <w:numId w:val="23"/>
        </w:numPr>
        <w:spacing w:after="0" w:line="288" w:lineRule="auto"/>
      </w:pPr>
      <w:r w:rsidRPr="003009F6">
        <w:t>Mangelfull filterspyling og/eller dårlig filtertilstand (én eller flere filterenheter)</w:t>
      </w:r>
    </w:p>
    <w:p w14:paraId="47E7648C" w14:textId="77777777" w:rsidR="006D6D2D" w:rsidRPr="003009F6" w:rsidRDefault="006D6D2D" w:rsidP="006D6D2D">
      <w:pPr>
        <w:pStyle w:val="ListParagraph"/>
        <w:numPr>
          <w:ilvl w:val="0"/>
          <w:numId w:val="23"/>
        </w:numPr>
        <w:spacing w:after="0" w:line="288" w:lineRule="auto"/>
      </w:pPr>
      <w:r w:rsidRPr="003009F6">
        <w:t>Utilstrekkelig prosessovervåking, styring og kontroll (mangelfull tilpasning av driftsbetingelser til endringer i råvannskvalitet, belastningsforhold, etc)</w:t>
      </w:r>
    </w:p>
    <w:p w14:paraId="13091D16" w14:textId="77777777" w:rsidR="006D6D2D" w:rsidRDefault="006D6D2D" w:rsidP="006D6D2D"/>
    <w:p w14:paraId="5FADA0BE" w14:textId="77777777" w:rsidR="006D6D2D" w:rsidRDefault="006D6D2D" w:rsidP="008F7A6B">
      <w:pPr>
        <w:pStyle w:val="Heading3"/>
      </w:pPr>
      <w:bookmarkStart w:id="19" w:name="_Toc442299942"/>
      <w:r>
        <w:t>Eksempler på svikt i desinfeksjonsbarriere</w:t>
      </w:r>
      <w:bookmarkEnd w:id="19"/>
    </w:p>
    <w:p w14:paraId="22FC8B5E" w14:textId="77777777" w:rsidR="006D6D2D" w:rsidRDefault="006D6D2D" w:rsidP="006D6D2D">
      <w:pPr>
        <w:spacing w:line="288" w:lineRule="auto"/>
        <w:jc w:val="both"/>
      </w:pPr>
      <w:r>
        <w:t xml:space="preserve">UV-desinfeksjon er i etterkant av </w:t>
      </w:r>
      <w:r w:rsidRPr="007F522A">
        <w:rPr>
          <w:i/>
        </w:rPr>
        <w:t>Giardia</w:t>
      </w:r>
      <w:r>
        <w:t xml:space="preserve">-utbruddet i Bergen i 2004 blitt mer eller mindre standard desinfeksjonsmetode ved de fleste norske vannverk og vektlegges derfor litt ekstra i det følgende. </w:t>
      </w:r>
      <w:r w:rsidRPr="00F112CA">
        <w:t xml:space="preserve">Mulige årsaker til svikt i </w:t>
      </w:r>
      <w:r>
        <w:t xml:space="preserve">UV-desinfeksjons </w:t>
      </w:r>
      <w:r w:rsidRPr="00F112CA">
        <w:t>er nærmere beskrevet i Norsk Vann-rapport 164/2008. Veiledning fo</w:t>
      </w:r>
      <w:r>
        <w:t>r UV-desinfeksjon av drikkevann</w:t>
      </w:r>
      <w:r>
        <w:rPr>
          <w:rStyle w:val="FootnoteReference"/>
        </w:rPr>
        <w:footnoteReference w:id="4"/>
      </w:r>
      <w:r w:rsidRPr="00F112CA">
        <w:t xml:space="preserve"> (Eikebrokk, </w:t>
      </w:r>
      <w:r>
        <w:t>et al. 2008</w:t>
      </w:r>
      <w:r w:rsidRPr="00F112CA">
        <w:t>)</w:t>
      </w:r>
      <w:r>
        <w:t xml:space="preserve">. </w:t>
      </w:r>
    </w:p>
    <w:p w14:paraId="4D7B4FAB" w14:textId="77777777" w:rsidR="006D6D2D" w:rsidRPr="007F1920" w:rsidRDefault="006D6D2D" w:rsidP="006D6D2D">
      <w:pPr>
        <w:spacing w:line="288" w:lineRule="auto"/>
        <w:jc w:val="both"/>
      </w:pPr>
      <w:r w:rsidRPr="007F1920">
        <w:t xml:space="preserve">I 2008 ble det i regi av Norsk Vann og Svenskt Vatten utgitt en veiledning for UV-desinfeksjon av drikkevann (Eikebrokk m.fl. 2008). Nedenfor følger noen utdrag av denne som er relevant for vannbehandlingsanleggene i Arendal og Grimstad. </w:t>
      </w:r>
    </w:p>
    <w:p w14:paraId="0EAC27A5" w14:textId="77777777" w:rsidR="006D6D2D" w:rsidRDefault="006D6D2D" w:rsidP="006D6D2D"/>
    <w:p w14:paraId="7D799438" w14:textId="77777777" w:rsidR="006D6D2D" w:rsidRDefault="006D6D2D" w:rsidP="006D6D2D">
      <w:pPr>
        <w:rPr>
          <w:b/>
        </w:rPr>
      </w:pPr>
      <w:r w:rsidRPr="008C0D81">
        <w:rPr>
          <w:b/>
        </w:rPr>
        <w:t xml:space="preserve">Varighetskurver </w:t>
      </w:r>
    </w:p>
    <w:p w14:paraId="3C3819C9" w14:textId="77777777" w:rsidR="006D6D2D" w:rsidRDefault="006D6D2D" w:rsidP="006D6D2D">
      <w:pPr>
        <w:rPr>
          <w:szCs w:val="18"/>
        </w:rPr>
      </w:pPr>
      <w:r>
        <w:t xml:space="preserve">For å dokumentere og evaluere styrken av de ulike vannbehandlingstrinn kan en utarbeide såkalte varighetskurver hvor en sammenligner prosessdata med angitte </w:t>
      </w:r>
      <w:r w:rsidRPr="00944538">
        <w:rPr>
          <w:szCs w:val="18"/>
        </w:rPr>
        <w:t>indikatorverdier for barriereeffekt fra drikkevannsforskriftens veileder</w:t>
      </w:r>
      <w:r>
        <w:rPr>
          <w:szCs w:val="18"/>
        </w:rPr>
        <w:t>. Dette kan gjøres for de ulike rensetrinn (koaguleringstrinn, UV-desinfeksjon, klordesinfeksjonstrinn) etc.</w:t>
      </w:r>
    </w:p>
    <w:p w14:paraId="4F420E28" w14:textId="77777777" w:rsidR="006D6D2D" w:rsidRDefault="006D6D2D" w:rsidP="006D6D2D">
      <w:pPr>
        <w:rPr>
          <w:szCs w:val="18"/>
        </w:rPr>
      </w:pPr>
      <w:r>
        <w:rPr>
          <w:szCs w:val="18"/>
        </w:rPr>
        <w:t xml:space="preserve">En varighetskurve </w:t>
      </w:r>
      <w:r w:rsidRPr="008F3F05">
        <w:rPr>
          <w:szCs w:val="18"/>
        </w:rPr>
        <w:t>viser andelen av vannmengden (</w:t>
      </w:r>
      <w:r>
        <w:rPr>
          <w:szCs w:val="18"/>
        </w:rPr>
        <w:t xml:space="preserve">fortrinnsvis </w:t>
      </w:r>
      <w:r w:rsidRPr="008F3F05">
        <w:rPr>
          <w:szCs w:val="18"/>
        </w:rPr>
        <w:t>i %</w:t>
      </w:r>
      <w:r>
        <w:rPr>
          <w:szCs w:val="18"/>
        </w:rPr>
        <w:t xml:space="preserve"> av levert vannmengde eller % av tiden</w:t>
      </w:r>
      <w:r w:rsidRPr="008F3F05">
        <w:rPr>
          <w:szCs w:val="18"/>
        </w:rPr>
        <w:t xml:space="preserve">) der barriereindikatorverdien </w:t>
      </w:r>
      <w:r>
        <w:rPr>
          <w:szCs w:val="18"/>
        </w:rPr>
        <w:t xml:space="preserve">angitt i veiledningen til drikkevannsforskriften </w:t>
      </w:r>
      <w:r w:rsidRPr="008F3F05">
        <w:rPr>
          <w:szCs w:val="18"/>
        </w:rPr>
        <w:t xml:space="preserve">er overskredet, og der man følgelig har en indikasjon på barrieresvikt. </w:t>
      </w:r>
    </w:p>
    <w:p w14:paraId="34260214" w14:textId="77777777" w:rsidR="006D6D2D" w:rsidRPr="0085408E" w:rsidRDefault="006D6D2D" w:rsidP="006D6D2D">
      <w:pPr>
        <w:pStyle w:val="Caption"/>
      </w:pPr>
      <w:bookmarkStart w:id="20" w:name="_Ref282688222"/>
      <w:r w:rsidRPr="0085408E">
        <w:t xml:space="preserve">Tabell </w:t>
      </w:r>
      <w:fldSimple w:instr=" STYLEREF 1 \s ">
        <w:r>
          <w:rPr>
            <w:noProof/>
          </w:rPr>
          <w:t>5</w:t>
        </w:r>
      </w:fldSimple>
      <w:r>
        <w:noBreakHyphen/>
      </w:r>
      <w:fldSimple w:instr=" SEQ Tabell \* ARABIC \s 1 ">
        <w:r>
          <w:rPr>
            <w:noProof/>
          </w:rPr>
          <w:t>2</w:t>
        </w:r>
      </w:fldSimple>
      <w:bookmarkEnd w:id="20"/>
      <w:r w:rsidRPr="0085408E">
        <w:tab/>
        <w:t>Krav til barriereindikatorer etter vannbehandling i henhold til drikkevanns</w:t>
      </w:r>
      <w:r w:rsidRPr="0085408E">
        <w:softHyphen/>
        <w:t>forskriftens veileder (Tabell C i Veilederen)</w:t>
      </w:r>
      <w:r>
        <w:rPr>
          <w:rStyle w:val="FootnoteReference"/>
        </w:rPr>
        <w:footnoteReference w:id="5"/>
      </w:r>
      <w:r w:rsidRPr="0085408E">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1559"/>
        <w:gridCol w:w="3786"/>
      </w:tblGrid>
      <w:tr w:rsidR="006D6D2D" w14:paraId="28D1654E" w14:textId="77777777" w:rsidTr="00B87EE8">
        <w:tc>
          <w:tcPr>
            <w:tcW w:w="3227" w:type="dxa"/>
            <w:shd w:val="clear" w:color="auto" w:fill="E6E6E6"/>
          </w:tcPr>
          <w:p w14:paraId="312A822C" w14:textId="77777777" w:rsidR="006D6D2D" w:rsidRDefault="006D6D2D" w:rsidP="00B87EE8">
            <w:pPr>
              <w:spacing w:line="288" w:lineRule="auto"/>
              <w:jc w:val="both"/>
            </w:pPr>
            <w:r>
              <w:t>Parameter</w:t>
            </w:r>
          </w:p>
        </w:tc>
        <w:tc>
          <w:tcPr>
            <w:tcW w:w="1559" w:type="dxa"/>
            <w:shd w:val="clear" w:color="auto" w:fill="E6E6E6"/>
          </w:tcPr>
          <w:p w14:paraId="46D0A1B5" w14:textId="77777777" w:rsidR="006D6D2D" w:rsidRDefault="006D6D2D" w:rsidP="00B87EE8">
            <w:pPr>
              <w:spacing w:line="288" w:lineRule="auto"/>
              <w:jc w:val="both"/>
            </w:pPr>
            <w:r>
              <w:t>Verdi</w:t>
            </w:r>
          </w:p>
        </w:tc>
        <w:tc>
          <w:tcPr>
            <w:tcW w:w="3786" w:type="dxa"/>
            <w:shd w:val="clear" w:color="auto" w:fill="E6E6E6"/>
          </w:tcPr>
          <w:p w14:paraId="4CD880C8" w14:textId="77777777" w:rsidR="006D6D2D" w:rsidRDefault="006D6D2D" w:rsidP="00B87EE8">
            <w:pPr>
              <w:spacing w:line="288" w:lineRule="auto"/>
              <w:jc w:val="both"/>
            </w:pPr>
            <w:r>
              <w:t>Kommentar</w:t>
            </w:r>
          </w:p>
        </w:tc>
      </w:tr>
      <w:tr w:rsidR="006D6D2D" w14:paraId="12E0E826" w14:textId="77777777" w:rsidTr="00B87EE8">
        <w:tc>
          <w:tcPr>
            <w:tcW w:w="8572" w:type="dxa"/>
            <w:gridSpan w:val="3"/>
          </w:tcPr>
          <w:p w14:paraId="0428235A" w14:textId="77777777" w:rsidR="006D6D2D" w:rsidRDefault="006D6D2D" w:rsidP="00B87EE8">
            <w:pPr>
              <w:spacing w:line="288" w:lineRule="auto"/>
              <w:jc w:val="both"/>
            </w:pPr>
            <w:r>
              <w:t>For vannbehandling med koagulering:</w:t>
            </w:r>
          </w:p>
        </w:tc>
      </w:tr>
      <w:tr w:rsidR="006D6D2D" w14:paraId="789EAD6A" w14:textId="77777777" w:rsidTr="00B87EE8">
        <w:tc>
          <w:tcPr>
            <w:tcW w:w="3227" w:type="dxa"/>
          </w:tcPr>
          <w:p w14:paraId="5936B2F9" w14:textId="77777777" w:rsidR="006D6D2D" w:rsidRDefault="006D6D2D" w:rsidP="00B87EE8">
            <w:pPr>
              <w:spacing w:line="288" w:lineRule="auto"/>
              <w:jc w:val="both"/>
            </w:pPr>
            <w:r>
              <w:t>Farge (mg Pt/L)</w:t>
            </w:r>
          </w:p>
        </w:tc>
        <w:tc>
          <w:tcPr>
            <w:tcW w:w="1559" w:type="dxa"/>
          </w:tcPr>
          <w:p w14:paraId="227CEB00" w14:textId="77777777" w:rsidR="006D6D2D" w:rsidRDefault="006D6D2D" w:rsidP="00B87EE8">
            <w:pPr>
              <w:spacing w:line="288" w:lineRule="auto"/>
              <w:jc w:val="both"/>
            </w:pPr>
            <w:r>
              <w:t>&lt; 10</w:t>
            </w:r>
          </w:p>
        </w:tc>
        <w:tc>
          <w:tcPr>
            <w:tcW w:w="3786" w:type="dxa"/>
          </w:tcPr>
          <w:p w14:paraId="2D503219" w14:textId="77777777" w:rsidR="006D6D2D" w:rsidRDefault="006D6D2D" w:rsidP="00B87EE8">
            <w:pPr>
              <w:spacing w:line="288" w:lineRule="auto"/>
              <w:jc w:val="both"/>
            </w:pPr>
            <w:r>
              <w:t>Bør normalt være &lt; 5</w:t>
            </w:r>
          </w:p>
        </w:tc>
      </w:tr>
      <w:tr w:rsidR="006D6D2D" w14:paraId="6DD63C3A" w14:textId="77777777" w:rsidTr="00B87EE8">
        <w:tc>
          <w:tcPr>
            <w:tcW w:w="3227" w:type="dxa"/>
          </w:tcPr>
          <w:p w14:paraId="7A6FAE85" w14:textId="77777777" w:rsidR="006D6D2D" w:rsidRDefault="006D6D2D" w:rsidP="00B87EE8">
            <w:pPr>
              <w:spacing w:line="288" w:lineRule="auto"/>
              <w:jc w:val="both"/>
            </w:pPr>
            <w:r>
              <w:t>Turbiditet (FNU)</w:t>
            </w:r>
          </w:p>
        </w:tc>
        <w:tc>
          <w:tcPr>
            <w:tcW w:w="1559" w:type="dxa"/>
          </w:tcPr>
          <w:p w14:paraId="29871DA1" w14:textId="77777777" w:rsidR="006D6D2D" w:rsidRDefault="006D6D2D" w:rsidP="00B87EE8">
            <w:pPr>
              <w:spacing w:line="288" w:lineRule="auto"/>
              <w:jc w:val="both"/>
            </w:pPr>
            <w:r>
              <w:t>&lt; 0.2</w:t>
            </w:r>
          </w:p>
        </w:tc>
        <w:tc>
          <w:tcPr>
            <w:tcW w:w="3786" w:type="dxa"/>
          </w:tcPr>
          <w:p w14:paraId="3F885FF6" w14:textId="77777777" w:rsidR="006D6D2D" w:rsidRPr="006E6597" w:rsidRDefault="006D6D2D" w:rsidP="00B87EE8">
            <w:pPr>
              <w:spacing w:line="288" w:lineRule="auto"/>
              <w:jc w:val="both"/>
            </w:pPr>
            <w:r w:rsidRPr="006E6597">
              <w:t>Utløp fra hvert enkelt filter</w:t>
            </w:r>
          </w:p>
        </w:tc>
      </w:tr>
      <w:tr w:rsidR="006D6D2D" w14:paraId="780247D1" w14:textId="77777777" w:rsidTr="00B87EE8">
        <w:tc>
          <w:tcPr>
            <w:tcW w:w="3227" w:type="dxa"/>
          </w:tcPr>
          <w:p w14:paraId="4ED1716F" w14:textId="77777777" w:rsidR="006D6D2D" w:rsidRDefault="006D6D2D" w:rsidP="00B87EE8">
            <w:pPr>
              <w:spacing w:line="288" w:lineRule="auto"/>
              <w:jc w:val="both"/>
            </w:pPr>
            <w:r>
              <w:t>TOC (mg C/L)</w:t>
            </w:r>
          </w:p>
        </w:tc>
        <w:tc>
          <w:tcPr>
            <w:tcW w:w="1559" w:type="dxa"/>
          </w:tcPr>
          <w:p w14:paraId="53F98C9C" w14:textId="77777777" w:rsidR="006D6D2D" w:rsidRDefault="006D6D2D" w:rsidP="00B87EE8">
            <w:pPr>
              <w:spacing w:line="288" w:lineRule="auto"/>
              <w:jc w:val="both"/>
            </w:pPr>
            <w:r>
              <w:t>&lt; 3.0</w:t>
            </w:r>
          </w:p>
        </w:tc>
        <w:tc>
          <w:tcPr>
            <w:tcW w:w="3786" w:type="dxa"/>
          </w:tcPr>
          <w:p w14:paraId="27941BFC" w14:textId="77777777" w:rsidR="006D6D2D" w:rsidRDefault="006D6D2D" w:rsidP="00B87EE8">
            <w:pPr>
              <w:spacing w:line="288" w:lineRule="auto"/>
              <w:jc w:val="both"/>
            </w:pPr>
          </w:p>
        </w:tc>
      </w:tr>
      <w:tr w:rsidR="006D6D2D" w14:paraId="53BCE862" w14:textId="77777777" w:rsidTr="00B87EE8">
        <w:tc>
          <w:tcPr>
            <w:tcW w:w="3227" w:type="dxa"/>
          </w:tcPr>
          <w:p w14:paraId="0A8A22C0" w14:textId="77777777" w:rsidR="006D6D2D" w:rsidRDefault="006D6D2D" w:rsidP="00B87EE8">
            <w:pPr>
              <w:spacing w:line="288" w:lineRule="auto"/>
              <w:jc w:val="both"/>
            </w:pPr>
            <w:r>
              <w:t>Aluminium (mg Al/L)</w:t>
            </w:r>
          </w:p>
        </w:tc>
        <w:tc>
          <w:tcPr>
            <w:tcW w:w="1559" w:type="dxa"/>
          </w:tcPr>
          <w:p w14:paraId="7063E31C" w14:textId="77777777" w:rsidR="006D6D2D" w:rsidRDefault="006D6D2D" w:rsidP="00B87EE8">
            <w:pPr>
              <w:spacing w:line="288" w:lineRule="auto"/>
              <w:jc w:val="both"/>
            </w:pPr>
            <w:r>
              <w:t>&lt; 0.15</w:t>
            </w:r>
          </w:p>
        </w:tc>
        <w:tc>
          <w:tcPr>
            <w:tcW w:w="3786" w:type="dxa"/>
          </w:tcPr>
          <w:p w14:paraId="430C8E53" w14:textId="77777777" w:rsidR="006D6D2D" w:rsidRDefault="006D6D2D" w:rsidP="00B87EE8">
            <w:pPr>
              <w:spacing w:line="288" w:lineRule="auto"/>
              <w:jc w:val="both"/>
            </w:pPr>
          </w:p>
        </w:tc>
      </w:tr>
    </w:tbl>
    <w:p w14:paraId="112BD677" w14:textId="77777777" w:rsidR="006D6D2D" w:rsidRDefault="006D6D2D" w:rsidP="006D6D2D">
      <w:pPr>
        <w:spacing w:line="288"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1559"/>
        <w:gridCol w:w="3786"/>
      </w:tblGrid>
      <w:tr w:rsidR="006D6D2D" w14:paraId="011720C1" w14:textId="77777777" w:rsidTr="00B87EE8">
        <w:tc>
          <w:tcPr>
            <w:tcW w:w="3227" w:type="dxa"/>
            <w:shd w:val="clear" w:color="auto" w:fill="E6E6E6"/>
          </w:tcPr>
          <w:p w14:paraId="59CF450E" w14:textId="77777777" w:rsidR="006D6D2D" w:rsidRDefault="006D6D2D" w:rsidP="00B87EE8">
            <w:pPr>
              <w:spacing w:line="288" w:lineRule="auto"/>
              <w:jc w:val="both"/>
            </w:pPr>
            <w:r>
              <w:t>Parameter</w:t>
            </w:r>
          </w:p>
        </w:tc>
        <w:tc>
          <w:tcPr>
            <w:tcW w:w="1559" w:type="dxa"/>
            <w:shd w:val="clear" w:color="auto" w:fill="E6E6E6"/>
          </w:tcPr>
          <w:p w14:paraId="7F992244" w14:textId="77777777" w:rsidR="006D6D2D" w:rsidRDefault="006D6D2D" w:rsidP="00B87EE8">
            <w:pPr>
              <w:spacing w:line="288" w:lineRule="auto"/>
              <w:jc w:val="both"/>
            </w:pPr>
            <w:r>
              <w:t>Verdi</w:t>
            </w:r>
          </w:p>
        </w:tc>
        <w:tc>
          <w:tcPr>
            <w:tcW w:w="3786" w:type="dxa"/>
            <w:shd w:val="clear" w:color="auto" w:fill="E6E6E6"/>
          </w:tcPr>
          <w:p w14:paraId="30C49865" w14:textId="77777777" w:rsidR="006D6D2D" w:rsidRDefault="006D6D2D" w:rsidP="00B87EE8">
            <w:pPr>
              <w:spacing w:line="288" w:lineRule="auto"/>
              <w:jc w:val="both"/>
            </w:pPr>
            <w:r>
              <w:t>Kommentar</w:t>
            </w:r>
          </w:p>
        </w:tc>
      </w:tr>
      <w:tr w:rsidR="006D6D2D" w14:paraId="73B00085" w14:textId="77777777" w:rsidTr="00B87EE8">
        <w:tc>
          <w:tcPr>
            <w:tcW w:w="8572" w:type="dxa"/>
            <w:gridSpan w:val="3"/>
          </w:tcPr>
          <w:p w14:paraId="6F503938" w14:textId="77777777" w:rsidR="006D6D2D" w:rsidRDefault="006D6D2D" w:rsidP="00B87EE8">
            <w:pPr>
              <w:spacing w:line="288" w:lineRule="auto"/>
              <w:jc w:val="both"/>
            </w:pPr>
            <w:r>
              <w:t>For vannbehandling med klor:</w:t>
            </w:r>
          </w:p>
        </w:tc>
      </w:tr>
      <w:tr w:rsidR="006D6D2D" w14:paraId="4C827A12" w14:textId="77777777" w:rsidTr="00B87EE8">
        <w:tc>
          <w:tcPr>
            <w:tcW w:w="3227" w:type="dxa"/>
          </w:tcPr>
          <w:p w14:paraId="4210D857" w14:textId="77777777" w:rsidR="006D6D2D" w:rsidRDefault="006D6D2D" w:rsidP="00B87EE8">
            <w:pPr>
              <w:spacing w:line="288" w:lineRule="auto"/>
              <w:jc w:val="both"/>
            </w:pPr>
            <w:r>
              <w:t>Fritt restklor (mg/L)</w:t>
            </w:r>
          </w:p>
        </w:tc>
        <w:tc>
          <w:tcPr>
            <w:tcW w:w="1559" w:type="dxa"/>
          </w:tcPr>
          <w:p w14:paraId="1B485C59" w14:textId="77777777" w:rsidR="006D6D2D" w:rsidRDefault="006D6D2D" w:rsidP="00B87EE8">
            <w:pPr>
              <w:spacing w:line="288" w:lineRule="auto"/>
              <w:jc w:val="both"/>
            </w:pPr>
            <w:r>
              <w:t>&gt; 0.05</w:t>
            </w:r>
          </w:p>
        </w:tc>
        <w:tc>
          <w:tcPr>
            <w:tcW w:w="3786" w:type="dxa"/>
          </w:tcPr>
          <w:p w14:paraId="420B7489" w14:textId="77777777" w:rsidR="006D6D2D" w:rsidRPr="006E6597" w:rsidRDefault="006D6D2D" w:rsidP="00B87EE8">
            <w:pPr>
              <w:spacing w:line="288" w:lineRule="auto"/>
              <w:jc w:val="both"/>
            </w:pPr>
            <w:r w:rsidRPr="006E6597">
              <w:t>Gjelder etter minst 30 min. kontakttid</w:t>
            </w:r>
          </w:p>
        </w:tc>
      </w:tr>
    </w:tbl>
    <w:p w14:paraId="4491D743" w14:textId="77777777" w:rsidR="006D6D2D" w:rsidRDefault="006D6D2D" w:rsidP="006D6D2D">
      <w:pPr>
        <w:spacing w:line="288"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1518"/>
        <w:gridCol w:w="4393"/>
      </w:tblGrid>
      <w:tr w:rsidR="006D6D2D" w14:paraId="6AD3F6D5" w14:textId="77777777" w:rsidTr="00B87EE8">
        <w:tc>
          <w:tcPr>
            <w:tcW w:w="3227" w:type="dxa"/>
            <w:shd w:val="clear" w:color="auto" w:fill="E6E6E6"/>
          </w:tcPr>
          <w:p w14:paraId="29FBED33" w14:textId="77777777" w:rsidR="006D6D2D" w:rsidRDefault="006D6D2D" w:rsidP="00B87EE8">
            <w:pPr>
              <w:spacing w:line="240" w:lineRule="auto"/>
              <w:jc w:val="both"/>
            </w:pPr>
            <w:r>
              <w:t>Parameter</w:t>
            </w:r>
          </w:p>
        </w:tc>
        <w:tc>
          <w:tcPr>
            <w:tcW w:w="1559" w:type="dxa"/>
            <w:shd w:val="clear" w:color="auto" w:fill="E6E6E6"/>
          </w:tcPr>
          <w:p w14:paraId="40C7786C" w14:textId="77777777" w:rsidR="006D6D2D" w:rsidRDefault="006D6D2D" w:rsidP="00B87EE8">
            <w:pPr>
              <w:spacing w:line="240" w:lineRule="auto"/>
              <w:jc w:val="both"/>
            </w:pPr>
            <w:r>
              <w:t>Verdi</w:t>
            </w:r>
          </w:p>
        </w:tc>
        <w:tc>
          <w:tcPr>
            <w:tcW w:w="4536" w:type="dxa"/>
            <w:shd w:val="clear" w:color="auto" w:fill="E6E6E6"/>
          </w:tcPr>
          <w:p w14:paraId="3F63983B" w14:textId="77777777" w:rsidR="006D6D2D" w:rsidRDefault="006D6D2D" w:rsidP="00B87EE8">
            <w:pPr>
              <w:spacing w:line="240" w:lineRule="auto"/>
              <w:jc w:val="both"/>
            </w:pPr>
            <w:r>
              <w:t>Kommentar</w:t>
            </w:r>
          </w:p>
        </w:tc>
      </w:tr>
      <w:tr w:rsidR="006D6D2D" w14:paraId="13EF9A87" w14:textId="77777777" w:rsidTr="00B87EE8">
        <w:tc>
          <w:tcPr>
            <w:tcW w:w="3227" w:type="dxa"/>
          </w:tcPr>
          <w:p w14:paraId="60B13CB1" w14:textId="77777777" w:rsidR="006D6D2D" w:rsidRDefault="006D6D2D" w:rsidP="00B87EE8">
            <w:pPr>
              <w:spacing w:line="240" w:lineRule="auto"/>
              <w:jc w:val="both"/>
            </w:pPr>
            <w:r>
              <w:t>For vannbehandling med UV:</w:t>
            </w:r>
          </w:p>
        </w:tc>
        <w:tc>
          <w:tcPr>
            <w:tcW w:w="1559" w:type="dxa"/>
          </w:tcPr>
          <w:p w14:paraId="0A724120" w14:textId="77777777" w:rsidR="006D6D2D" w:rsidRDefault="006D6D2D" w:rsidP="00B87EE8">
            <w:pPr>
              <w:spacing w:line="240" w:lineRule="auto"/>
              <w:jc w:val="both"/>
            </w:pPr>
          </w:p>
        </w:tc>
        <w:tc>
          <w:tcPr>
            <w:tcW w:w="4536" w:type="dxa"/>
          </w:tcPr>
          <w:p w14:paraId="5C390E8A" w14:textId="77777777" w:rsidR="006D6D2D" w:rsidRPr="006E6597" w:rsidRDefault="006D6D2D" w:rsidP="00B87EE8">
            <w:pPr>
              <w:spacing w:line="240" w:lineRule="auto"/>
              <w:jc w:val="both"/>
            </w:pPr>
          </w:p>
        </w:tc>
      </w:tr>
      <w:tr w:rsidR="006D6D2D" w14:paraId="2F363E75" w14:textId="77777777" w:rsidTr="00B87EE8">
        <w:tc>
          <w:tcPr>
            <w:tcW w:w="3227" w:type="dxa"/>
          </w:tcPr>
          <w:p w14:paraId="6A07F113" w14:textId="77777777" w:rsidR="006D6D2D" w:rsidRDefault="006D6D2D" w:rsidP="00B87EE8">
            <w:pPr>
              <w:spacing w:line="240" w:lineRule="auto"/>
              <w:jc w:val="both"/>
            </w:pPr>
            <w:r>
              <w:t>UV-dose (mJ/cm</w:t>
            </w:r>
            <w:r w:rsidRPr="007E6162">
              <w:rPr>
                <w:vertAlign w:val="superscript"/>
              </w:rPr>
              <w:t>2</w:t>
            </w:r>
            <w:r>
              <w:t>)</w:t>
            </w:r>
          </w:p>
        </w:tc>
        <w:tc>
          <w:tcPr>
            <w:tcW w:w="1559" w:type="dxa"/>
          </w:tcPr>
          <w:p w14:paraId="4DB86368" w14:textId="77777777" w:rsidR="006D6D2D" w:rsidRPr="007E6162" w:rsidRDefault="006D6D2D" w:rsidP="00B87EE8">
            <w:pPr>
              <w:spacing w:line="240" w:lineRule="auto"/>
              <w:jc w:val="both"/>
              <w:rPr>
                <w:vertAlign w:val="superscript"/>
              </w:rPr>
            </w:pPr>
            <w:r>
              <w:t>&gt; 30</w:t>
            </w:r>
          </w:p>
          <w:p w14:paraId="35CA7023" w14:textId="77777777" w:rsidR="006D6D2D" w:rsidRPr="007E6162" w:rsidRDefault="006D6D2D" w:rsidP="00B87EE8">
            <w:pPr>
              <w:spacing w:line="240" w:lineRule="auto"/>
              <w:jc w:val="both"/>
              <w:rPr>
                <w:vertAlign w:val="superscript"/>
              </w:rPr>
            </w:pPr>
            <w:r>
              <w:t>&gt; 40</w:t>
            </w:r>
          </w:p>
        </w:tc>
        <w:tc>
          <w:tcPr>
            <w:tcW w:w="4536" w:type="dxa"/>
          </w:tcPr>
          <w:p w14:paraId="323CC303" w14:textId="77777777" w:rsidR="006D6D2D" w:rsidRDefault="006D6D2D" w:rsidP="00B87EE8">
            <w:pPr>
              <w:spacing w:line="240" w:lineRule="auto"/>
            </w:pPr>
            <w:r>
              <w:t>For bakterier, virus og parasitter</w:t>
            </w:r>
          </w:p>
          <w:p w14:paraId="60120AD4" w14:textId="77777777" w:rsidR="006D6D2D" w:rsidRPr="006E6597" w:rsidRDefault="006D6D2D" w:rsidP="00B87EE8">
            <w:pPr>
              <w:spacing w:line="240" w:lineRule="auto"/>
            </w:pPr>
            <w:r>
              <w:t>Dersom også bakteriesporer skal inaktiveres</w:t>
            </w:r>
          </w:p>
        </w:tc>
      </w:tr>
    </w:tbl>
    <w:p w14:paraId="4F06E75E" w14:textId="77777777" w:rsidR="006D6D2D" w:rsidRDefault="006D6D2D" w:rsidP="006D6D2D">
      <w:pPr>
        <w:spacing w:line="288" w:lineRule="auto"/>
        <w:jc w:val="both"/>
      </w:pPr>
    </w:p>
    <w:p w14:paraId="56E6EB52" w14:textId="77777777" w:rsidR="006D6D2D" w:rsidRDefault="006D6D2D" w:rsidP="006D6D2D"/>
    <w:p w14:paraId="73DE9163" w14:textId="77777777" w:rsidR="006D6D2D" w:rsidRDefault="006D6D2D" w:rsidP="006D6D2D">
      <w:pPr>
        <w:rPr>
          <w:b/>
        </w:rPr>
      </w:pPr>
      <w:r w:rsidRPr="0061659B">
        <w:rPr>
          <w:b/>
        </w:rPr>
        <w:t xml:space="preserve">Eksempel varighetskurve </w:t>
      </w:r>
      <w:r>
        <w:rPr>
          <w:b/>
        </w:rPr>
        <w:t>f</w:t>
      </w:r>
      <w:r w:rsidRPr="0061659B">
        <w:rPr>
          <w:b/>
        </w:rPr>
        <w:t>ilter</w:t>
      </w:r>
    </w:p>
    <w:p w14:paraId="3C7C72AF" w14:textId="77777777" w:rsidR="006D6D2D" w:rsidRDefault="006D6D2D" w:rsidP="006D6D2D">
      <w:pPr>
        <w:spacing w:line="288" w:lineRule="auto"/>
        <w:jc w:val="both"/>
      </w:pPr>
      <w:r>
        <w:t xml:space="preserve">For å vurdere sannsynligheten for </w:t>
      </w:r>
      <w:r w:rsidRPr="00F135FE">
        <w:rPr>
          <w:i/>
        </w:rPr>
        <w:t xml:space="preserve">svikt i </w:t>
      </w:r>
      <w:r>
        <w:rPr>
          <w:i/>
        </w:rPr>
        <w:t xml:space="preserve">behandlingsbarrieren </w:t>
      </w:r>
      <w:r w:rsidRPr="00B22956">
        <w:t>representert ved</w:t>
      </w:r>
      <w:r>
        <w:rPr>
          <w:i/>
        </w:rPr>
        <w:t xml:space="preserve"> </w:t>
      </w:r>
      <w:r w:rsidRPr="00B22956">
        <w:t>et</w:t>
      </w:r>
      <w:r>
        <w:rPr>
          <w:i/>
        </w:rPr>
        <w:t xml:space="preserve"> </w:t>
      </w:r>
      <w:r>
        <w:t xml:space="preserve">koagulerings- og kontaktfiltreringsanlegget sammenstiller en driftsdata fra utløpet til hvert enkelt filter og sammenligner dette med indikatorverdiene i Drikkevannsforskriftens veileder (turbiditet &lt; 0.2 NTU). Dette er vist for to ulike vannverk i Norge hvor filteret svikter i 42% av tiden for ett vannverk men det for et annet bare svikter i 0,17%. Begge anleggene har behandlingsbarrieren representert ved filteret, men styrken i barrierene er vidt forskjellig. Dette er forhold som må avdekkes i en ROS-analyse. </w:t>
      </w:r>
    </w:p>
    <w:p w14:paraId="0D4876D3" w14:textId="77777777" w:rsidR="006D6D2D" w:rsidRDefault="006D6D2D" w:rsidP="006D6D2D">
      <w:pPr>
        <w:spacing w:line="288" w:lineRule="auto"/>
        <w:jc w:val="both"/>
      </w:pPr>
    </w:p>
    <w:p w14:paraId="30032890" w14:textId="77777777" w:rsidR="006D6D2D" w:rsidRDefault="006D6D2D" w:rsidP="006D6D2D">
      <w:pPr>
        <w:pStyle w:val="Caption"/>
      </w:pPr>
      <w:r>
        <w:rPr>
          <w:noProof/>
          <w:lang w:val="en-US" w:eastAsia="en-US"/>
        </w:rPr>
        <w:drawing>
          <wp:inline distT="0" distB="0" distL="0" distR="0" wp14:anchorId="3F5BC82F" wp14:editId="3F1B8EC9">
            <wp:extent cx="4016044" cy="2220878"/>
            <wp:effectExtent l="0" t="0" r="381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22791" cy="2224609"/>
                    </a:xfrm>
                    <a:prstGeom prst="rect">
                      <a:avLst/>
                    </a:prstGeom>
                    <a:noFill/>
                  </pic:spPr>
                </pic:pic>
              </a:graphicData>
            </a:graphic>
          </wp:inline>
        </w:drawing>
      </w:r>
    </w:p>
    <w:p w14:paraId="0437E0BA" w14:textId="77777777" w:rsidR="006D6D2D" w:rsidRDefault="006D6D2D" w:rsidP="006D6D2D">
      <w:pPr>
        <w:pStyle w:val="Caption"/>
      </w:pPr>
      <w:bookmarkStart w:id="21" w:name="_Ref432744340"/>
      <w:r>
        <w:t xml:space="preserve">Figur </w:t>
      </w:r>
      <w:fldSimple w:instr=" SEQ Figur \* ARABIC ">
        <w:r>
          <w:rPr>
            <w:noProof/>
          </w:rPr>
          <w:t>8</w:t>
        </w:r>
      </w:fldSimple>
      <w:bookmarkEnd w:id="21"/>
      <w:r>
        <w:t xml:space="preserve">. Eksempel på varighetskurve for utløpsvannet fra et filter ved et norsk vannbehandlingsanlegg. Turbiditeten &gt;0,2 NTU i 42 % av tiden </w:t>
      </w:r>
    </w:p>
    <w:p w14:paraId="6EB4ECD3" w14:textId="77777777" w:rsidR="006D6D2D" w:rsidRDefault="006D6D2D" w:rsidP="006D6D2D">
      <w:pPr>
        <w:spacing w:line="288" w:lineRule="auto"/>
        <w:jc w:val="both"/>
      </w:pPr>
    </w:p>
    <w:p w14:paraId="2DEE4FC4" w14:textId="77777777" w:rsidR="006D6D2D" w:rsidRDefault="006D6D2D" w:rsidP="006D6D2D">
      <w:pPr>
        <w:spacing w:line="288" w:lineRule="auto"/>
        <w:jc w:val="both"/>
      </w:pPr>
    </w:p>
    <w:p w14:paraId="2A76E872" w14:textId="77777777" w:rsidR="006D6D2D" w:rsidRDefault="006D6D2D" w:rsidP="006D6D2D">
      <w:pPr>
        <w:pStyle w:val="Caption"/>
      </w:pPr>
      <w:r>
        <w:rPr>
          <w:noProof/>
          <w:lang w:val="en-US" w:eastAsia="en-US"/>
        </w:rPr>
        <w:drawing>
          <wp:anchor distT="0" distB="0" distL="114300" distR="114300" simplePos="0" relativeHeight="251660288" behindDoc="1" locked="0" layoutInCell="1" allowOverlap="1" wp14:anchorId="1F419B73" wp14:editId="32F549DE">
            <wp:simplePos x="0" y="0"/>
            <wp:positionH relativeFrom="column">
              <wp:posOffset>34290</wp:posOffset>
            </wp:positionH>
            <wp:positionV relativeFrom="paragraph">
              <wp:posOffset>44450</wp:posOffset>
            </wp:positionV>
            <wp:extent cx="4107815" cy="2392045"/>
            <wp:effectExtent l="0" t="0" r="6985" b="8255"/>
            <wp:wrapTopAndBottom/>
            <wp:docPr id="5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1141"/>
                    <a:stretch/>
                  </pic:blipFill>
                  <pic:spPr bwMode="auto">
                    <a:xfrm>
                      <a:off x="0" y="0"/>
                      <a:ext cx="4107815" cy="2392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Figur </w:t>
      </w:r>
      <w:fldSimple w:instr=" SEQ Figur \* ARABIC ">
        <w:r>
          <w:rPr>
            <w:noProof/>
          </w:rPr>
          <w:t>9</w:t>
        </w:r>
      </w:fldSimple>
      <w:r>
        <w:t xml:space="preserve">. </w:t>
      </w:r>
      <w:r w:rsidRPr="004A31EA">
        <w:t>Eksempel på varighetskurve for utløpsvannet fra et filter ved et norsk vannbehandlingsanlegg. Turbiditeten &gt;0,2 NTU i 0,17 % av levert vannmengde</w:t>
      </w:r>
    </w:p>
    <w:p w14:paraId="2EC039E0" w14:textId="77777777" w:rsidR="006D6D2D" w:rsidRDefault="006D6D2D" w:rsidP="006D6D2D"/>
    <w:p w14:paraId="1F7925C3" w14:textId="77777777" w:rsidR="006D6D2D" w:rsidRPr="00C95BEE" w:rsidRDefault="006D6D2D" w:rsidP="006D6D2D">
      <w:pPr>
        <w:rPr>
          <w:b/>
        </w:rPr>
      </w:pPr>
      <w:r w:rsidRPr="00C95BEE">
        <w:rPr>
          <w:b/>
        </w:rPr>
        <w:t>Eksempel varighetskurve UV</w:t>
      </w:r>
    </w:p>
    <w:p w14:paraId="05AA6616" w14:textId="77777777" w:rsidR="006D6D2D" w:rsidRDefault="006D6D2D" w:rsidP="006D6D2D">
      <w:pPr>
        <w:jc w:val="both"/>
      </w:pPr>
      <w:r>
        <w:t xml:space="preserve">For å vurdere sannsynligheten for </w:t>
      </w:r>
      <w:r w:rsidRPr="00F135FE">
        <w:rPr>
          <w:i/>
        </w:rPr>
        <w:t xml:space="preserve">svikt i </w:t>
      </w:r>
      <w:r>
        <w:rPr>
          <w:i/>
        </w:rPr>
        <w:t xml:space="preserve">desinfeksjonsbarrieren </w:t>
      </w:r>
      <w:r w:rsidRPr="00B22956">
        <w:t>representert ved</w:t>
      </w:r>
      <w:r>
        <w:rPr>
          <w:i/>
        </w:rPr>
        <w:t xml:space="preserve"> </w:t>
      </w:r>
      <w:r w:rsidRPr="00B22956">
        <w:t>et</w:t>
      </w:r>
      <w:r>
        <w:rPr>
          <w:i/>
        </w:rPr>
        <w:t xml:space="preserve"> </w:t>
      </w:r>
      <w:r w:rsidRPr="00254E1C">
        <w:t>UV-anlegg</w:t>
      </w:r>
      <w:r>
        <w:rPr>
          <w:i/>
        </w:rPr>
        <w:t xml:space="preserve"> </w:t>
      </w:r>
      <w:r>
        <w:t>sammenstiller en driftsdata for hvert UV-aggregat med indikatorverdiene i Drikkevannsforskriftens veileder (UV-dose er 40 mJ/cm</w:t>
      </w:r>
      <w:r w:rsidRPr="007E6162">
        <w:rPr>
          <w:vertAlign w:val="superscript"/>
        </w:rPr>
        <w:t>2</w:t>
      </w:r>
      <w:r>
        <w:t xml:space="preserve"> (tilsvarende 400 J/m</w:t>
      </w:r>
      <w:r w:rsidRPr="00F26507">
        <w:rPr>
          <w:vertAlign w:val="superscript"/>
        </w:rPr>
        <w:t>2</w:t>
      </w:r>
      <w:r>
        <w:t xml:space="preserve">). En varighetskurve for UV viser andel av produsert vannmengde hvor dosen er under en gitt grense. Figuren under viser varighetskurven for et UV-aggregat hvor 99,3 % av det leverte vannet oppfyller Drikkevannsforskriften. Dette er et forholdsvis høyt tall, men det er viktig å være klar over at samme UV-aggregat lever 0,7 % vann som  ikke tilfredsstiller Drikkevannsforskriftens krav. Dersom en antar konstant vannføring tilsvarer dette 2,5 dager i løpet av ett år. I denne perioden har en svikt i UV-desinfeksjonstrinnet. </w:t>
      </w:r>
    </w:p>
    <w:p w14:paraId="751B0EF7" w14:textId="77777777" w:rsidR="006D6D2D" w:rsidRDefault="006D6D2D" w:rsidP="006D6D2D"/>
    <w:p w14:paraId="2A1A03AE" w14:textId="77777777" w:rsidR="006D6D2D" w:rsidRDefault="006D6D2D" w:rsidP="006D6D2D">
      <w:pPr>
        <w:spacing w:line="288" w:lineRule="auto"/>
        <w:jc w:val="both"/>
        <w:rPr>
          <w:rFonts w:ascii="Times New Roman" w:hAnsi="Times New Roman"/>
        </w:rPr>
      </w:pPr>
      <w:r>
        <w:rPr>
          <w:rFonts w:ascii="Times New Roman" w:hAnsi="Times New Roman"/>
          <w:noProof/>
          <w:lang w:val="en-US"/>
        </w:rPr>
        <w:drawing>
          <wp:inline distT="0" distB="0" distL="0" distR="0" wp14:anchorId="071FA13E" wp14:editId="637987F6">
            <wp:extent cx="5009515" cy="2926080"/>
            <wp:effectExtent l="0" t="0" r="63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9515" cy="2926080"/>
                    </a:xfrm>
                    <a:prstGeom prst="rect">
                      <a:avLst/>
                    </a:prstGeom>
                    <a:noFill/>
                    <a:ln>
                      <a:noFill/>
                    </a:ln>
                  </pic:spPr>
                </pic:pic>
              </a:graphicData>
            </a:graphic>
          </wp:inline>
        </w:drawing>
      </w:r>
    </w:p>
    <w:p w14:paraId="430BFE0E" w14:textId="77777777" w:rsidR="006D6D2D" w:rsidRDefault="006D6D2D" w:rsidP="006D6D2D">
      <w:pPr>
        <w:pStyle w:val="Caption"/>
        <w:rPr>
          <w:rFonts w:ascii="Times New Roman" w:hAnsi="Times New Roman"/>
          <w:color w:val="000000"/>
          <w:szCs w:val="24"/>
          <w:lang w:eastAsia="en-US"/>
        </w:rPr>
      </w:pPr>
      <w:r>
        <w:t xml:space="preserve">Figur </w:t>
      </w:r>
      <w:fldSimple w:instr=" SEQ Figur \* ARABIC ">
        <w:r>
          <w:rPr>
            <w:noProof/>
          </w:rPr>
          <w:t>10</w:t>
        </w:r>
      </w:fldSimple>
      <w:r>
        <w:t xml:space="preserve">. Eksempel varighetskurve for et UV-aggregat fra et norsk vannverk hvor en sammenligner faktiske driftsdata med angitte krav i veiledningen.  </w:t>
      </w:r>
    </w:p>
    <w:p w14:paraId="3E1E42BE" w14:textId="77777777" w:rsidR="006D6D2D" w:rsidRDefault="006D6D2D" w:rsidP="006D6D2D">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both"/>
      </w:pPr>
    </w:p>
    <w:p w14:paraId="29F33CD4" w14:textId="77777777" w:rsidR="006D6D2D" w:rsidRPr="008F7A6B" w:rsidRDefault="006D6D2D" w:rsidP="008F7A6B">
      <w:pPr>
        <w:pStyle w:val="Heading2"/>
      </w:pPr>
      <w:bookmarkStart w:id="22" w:name="_Toc442299943"/>
      <w:r w:rsidRPr="008F7A6B">
        <w:t>Eksempler på svikt innen vanndistribusjon</w:t>
      </w:r>
      <w:bookmarkEnd w:id="22"/>
      <w:r w:rsidRPr="008F7A6B">
        <w:t xml:space="preserve"> </w:t>
      </w:r>
    </w:p>
    <w:p w14:paraId="737167A1" w14:textId="77777777" w:rsidR="006D6D2D" w:rsidRDefault="006D6D2D" w:rsidP="006D6D2D">
      <w:pPr>
        <w:spacing w:line="288" w:lineRule="auto"/>
        <w:jc w:val="both"/>
      </w:pPr>
      <w:r>
        <w:t xml:space="preserve">I det følgende angis identifiserte sårbarheter og trusler som kan hende innenfor vanndistribusjon. For de fleste av hendelsene oppstår selve hendelsen i vanndistribusjon og det er også her en opplever konsekvensene av hendelsen. I noen tilfeller oppstår selve hendelsen innen for kilde/vannbehandling som påvirker vannkvaliteten. I tillegg kan hendelser innen avløp ha konsekvenser for vannkvalitet. Tilsvarende kan hendelser opptre i en annen kritisk infrastruktur, men hvor en får konsekvenser for vanndistribusjon, for eksempel strømbortfall påvirker driften av vannpumpestasjoner som ikke har nødstrømsaggregat. </w:t>
      </w:r>
    </w:p>
    <w:p w14:paraId="60A18ACA" w14:textId="77777777" w:rsidR="006D6D2D" w:rsidRDefault="006D6D2D" w:rsidP="006D6D2D">
      <w:pPr>
        <w:spacing w:line="288" w:lineRule="auto"/>
        <w:jc w:val="both"/>
      </w:pPr>
    </w:p>
    <w:p w14:paraId="3056589A" w14:textId="77777777" w:rsidR="006D6D2D" w:rsidRDefault="006D6D2D" w:rsidP="006D6D2D">
      <w:pPr>
        <w:spacing w:line="288" w:lineRule="auto"/>
        <w:jc w:val="both"/>
      </w:pPr>
      <w:r>
        <w:t>Hovedtyper hendelser innen vannforsyning:</w:t>
      </w:r>
    </w:p>
    <w:p w14:paraId="7B91D107" w14:textId="77777777" w:rsidR="006D6D2D" w:rsidRDefault="006D6D2D" w:rsidP="006D6D2D">
      <w:pPr>
        <w:pStyle w:val="ListParagraph"/>
        <w:numPr>
          <w:ilvl w:val="0"/>
          <w:numId w:val="24"/>
        </w:numPr>
        <w:spacing w:after="0" w:line="288" w:lineRule="auto"/>
        <w:jc w:val="both"/>
      </w:pPr>
      <w:r>
        <w:t xml:space="preserve">Mikrobiell forurensing </w:t>
      </w:r>
    </w:p>
    <w:p w14:paraId="240CE584" w14:textId="77777777" w:rsidR="006D6D2D" w:rsidRDefault="006D6D2D" w:rsidP="006D6D2D">
      <w:pPr>
        <w:pStyle w:val="ListParagraph"/>
        <w:numPr>
          <w:ilvl w:val="0"/>
          <w:numId w:val="24"/>
        </w:numPr>
        <w:spacing w:after="0" w:line="288" w:lineRule="auto"/>
        <w:jc w:val="both"/>
      </w:pPr>
      <w:r>
        <w:t>Kjemisk forurensing</w:t>
      </w:r>
    </w:p>
    <w:p w14:paraId="1DCDC90E" w14:textId="77777777" w:rsidR="006D6D2D" w:rsidRDefault="006D6D2D" w:rsidP="006D6D2D">
      <w:pPr>
        <w:pStyle w:val="ListParagraph"/>
        <w:numPr>
          <w:ilvl w:val="0"/>
          <w:numId w:val="24"/>
        </w:numPr>
        <w:spacing w:after="0" w:line="288" w:lineRule="auto"/>
        <w:jc w:val="both"/>
      </w:pPr>
      <w:r>
        <w:t>Vannutilgjengelighet</w:t>
      </w:r>
    </w:p>
    <w:p w14:paraId="7AA6D83A" w14:textId="77777777" w:rsidR="006D6D2D" w:rsidRDefault="006D6D2D" w:rsidP="006D6D2D">
      <w:pPr>
        <w:spacing w:line="288" w:lineRule="auto"/>
        <w:jc w:val="both"/>
      </w:pPr>
    </w:p>
    <w:p w14:paraId="6DC22779" w14:textId="77777777" w:rsidR="006D6D2D" w:rsidRDefault="006D6D2D" w:rsidP="006D6D2D">
      <w:pPr>
        <w:spacing w:line="288" w:lineRule="auto"/>
        <w:jc w:val="both"/>
      </w:pPr>
      <w:r>
        <w:t>Hendelser knyttet til vannkvalitet og vannutilgjengelighet er ofte knyttet sammen. Særlig gjelder dette forhold på nettet. Ved for eksempel ledningsbrudd vil noen kunne oppleve at vannforsyningen opphører. I etterkant av slike trykkløse situasjoner kan en forringelse av vannkvaliteten oppstå som en følge av innlekking av fremmedvann.</w:t>
      </w:r>
    </w:p>
    <w:p w14:paraId="245674A1" w14:textId="77777777" w:rsidR="006D6D2D" w:rsidRDefault="006D6D2D" w:rsidP="006D6D2D">
      <w:pPr>
        <w:spacing w:before="240" w:line="288" w:lineRule="auto"/>
        <w:jc w:val="both"/>
        <w:rPr>
          <w:kern w:val="28"/>
        </w:rPr>
      </w:pPr>
    </w:p>
    <w:p w14:paraId="496C04AC" w14:textId="77777777" w:rsidR="006D6D2D" w:rsidRDefault="006D6D2D" w:rsidP="006D6D2D">
      <w:pPr>
        <w:spacing w:before="240" w:line="288" w:lineRule="auto"/>
        <w:jc w:val="both"/>
        <w:rPr>
          <w:b/>
          <w:kern w:val="28"/>
          <w:sz w:val="24"/>
        </w:rPr>
      </w:pPr>
      <w:r w:rsidRPr="00D214AE">
        <w:rPr>
          <w:b/>
          <w:kern w:val="28"/>
          <w:sz w:val="24"/>
        </w:rPr>
        <w:t xml:space="preserve">Eksempel på </w:t>
      </w:r>
      <w:r>
        <w:rPr>
          <w:b/>
          <w:kern w:val="28"/>
          <w:sz w:val="24"/>
        </w:rPr>
        <w:t xml:space="preserve">identifisering av kritiske ledning ved ledningsbrudd </w:t>
      </w:r>
    </w:p>
    <w:p w14:paraId="4FFC2256" w14:textId="77777777" w:rsidR="006D6D2D" w:rsidRDefault="006D6D2D" w:rsidP="006D6D2D">
      <w:pPr>
        <w:spacing w:before="240" w:line="288" w:lineRule="auto"/>
        <w:jc w:val="both"/>
        <w:rPr>
          <w:kern w:val="28"/>
          <w:sz w:val="24"/>
        </w:rPr>
      </w:pPr>
      <w:r>
        <w:rPr>
          <w:kern w:val="28"/>
          <w:sz w:val="24"/>
        </w:rPr>
        <w:t xml:space="preserve">Det finnes ulike hydrauliske nettsimuleringsmodeller som analyserer </w:t>
      </w:r>
      <w:r w:rsidRPr="006E5E19">
        <w:rPr>
          <w:kern w:val="28"/>
          <w:sz w:val="24"/>
        </w:rPr>
        <w:t>leveringssikkerhet</w:t>
      </w:r>
      <w:r>
        <w:rPr>
          <w:kern w:val="28"/>
          <w:sz w:val="24"/>
        </w:rPr>
        <w:t xml:space="preserve"> ved bortfall av ledninger som en følge av ledningsbrudd. </w:t>
      </w:r>
      <w:r w:rsidRPr="006E5E19">
        <w:rPr>
          <w:kern w:val="28"/>
          <w:sz w:val="24"/>
        </w:rPr>
        <w:t xml:space="preserve">Som et mål på hydraulisk leveringssikkerhet beregnes vannmengde som ikke blir levert som følge av svikt på ledninger. Dette gjøres systematisk for alle ledningene på nettet. Hver enkelt ledning får tilordnet en verdi for ”Hydraulic Criticality Indeks” (HCI), som er et tall mellom 0 og 1. Et høyt tall angir store konsekvenser ved svikt i den aktuelle ledning, mens en lav verdi angir små konsekvenser ved eventuell svikt av ledning.  </w:t>
      </w:r>
      <w:r>
        <w:rPr>
          <w:kern w:val="28"/>
          <w:sz w:val="24"/>
        </w:rPr>
        <w:t xml:space="preserve">Figuren under viser resultatene for mindre del av ledningsnettet til et vannverk. </w:t>
      </w:r>
    </w:p>
    <w:p w14:paraId="141E2299" w14:textId="77777777" w:rsidR="006D6D2D" w:rsidRDefault="006D6D2D" w:rsidP="006D6D2D">
      <w:pPr>
        <w:jc w:val="both"/>
        <w:rPr>
          <w:sz w:val="24"/>
        </w:rPr>
      </w:pPr>
      <w:r w:rsidRPr="0007038D">
        <w:rPr>
          <w:noProof/>
          <w:lang w:val="en-US"/>
        </w:rPr>
        <w:drawing>
          <wp:inline distT="0" distB="0" distL="0" distR="0" wp14:anchorId="4B36D5AE" wp14:editId="5FF2C530">
            <wp:extent cx="4835525" cy="3053602"/>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379" t="18339" r="2379" b="-1653"/>
                    <a:stretch/>
                  </pic:blipFill>
                  <pic:spPr bwMode="auto">
                    <a:xfrm>
                      <a:off x="0" y="0"/>
                      <a:ext cx="4835525" cy="3053602"/>
                    </a:xfrm>
                    <a:prstGeom prst="rect">
                      <a:avLst/>
                    </a:prstGeom>
                    <a:noFill/>
                    <a:ln>
                      <a:noFill/>
                    </a:ln>
                    <a:extLst>
                      <a:ext uri="{53640926-AAD7-44D8-BBD7-CCE9431645EC}">
                        <a14:shadowObscured xmlns:a14="http://schemas.microsoft.com/office/drawing/2010/main"/>
                      </a:ext>
                    </a:extLst>
                  </pic:spPr>
                </pic:pic>
              </a:graphicData>
            </a:graphic>
          </wp:inline>
        </w:drawing>
      </w:r>
    </w:p>
    <w:p w14:paraId="63220F23" w14:textId="77777777" w:rsidR="006D6D2D" w:rsidRDefault="006D6D2D" w:rsidP="006D6D2D">
      <w:pPr>
        <w:pStyle w:val="Caption"/>
      </w:pPr>
      <w:r>
        <w:t xml:space="preserve">Figur </w:t>
      </w:r>
      <w:fldSimple w:instr=" SEQ Figur \* ARABIC ">
        <w:r>
          <w:rPr>
            <w:noProof/>
          </w:rPr>
          <w:t>12</w:t>
        </w:r>
      </w:fldSimple>
      <w:r>
        <w:t>. Identifisering av ledninger som er mest kritisk ved ledningsbrudd (Figur SINTEF).</w:t>
      </w:r>
    </w:p>
    <w:p w14:paraId="2CAB9D77" w14:textId="77777777" w:rsidR="006D6D2D" w:rsidRDefault="006D6D2D" w:rsidP="006D6D2D">
      <w:pPr>
        <w:rPr>
          <w:lang w:eastAsia="nb-NO"/>
        </w:rPr>
      </w:pPr>
    </w:p>
    <w:p w14:paraId="4EC49959" w14:textId="77777777" w:rsidR="006D6D2D" w:rsidRPr="006C59B4" w:rsidRDefault="006D6D2D" w:rsidP="006D6D2D">
      <w:pPr>
        <w:jc w:val="both"/>
        <w:rPr>
          <w:sz w:val="24"/>
        </w:rPr>
      </w:pPr>
      <w:r>
        <w:rPr>
          <w:sz w:val="24"/>
        </w:rPr>
        <w:t xml:space="preserve">Norsk Vann har under utarbeidelse en egen veiledning knyttet til </w:t>
      </w:r>
      <w:r w:rsidRPr="00CA7B3A">
        <w:rPr>
          <w:sz w:val="24"/>
        </w:rPr>
        <w:t>Risikoledninger i vann- og avløpssystemet</w:t>
      </w:r>
      <w:r>
        <w:rPr>
          <w:sz w:val="24"/>
        </w:rPr>
        <w:t>. Hvor m</w:t>
      </w:r>
      <w:r w:rsidRPr="00CA7B3A">
        <w:rPr>
          <w:sz w:val="24"/>
        </w:rPr>
        <w:t>ålet er å gi kommunene et verktøy til å identifisere, klassifisere og planlegge oppfølging av sine risikoledninger i vann- og avløpssysteme</w:t>
      </w:r>
      <w:r>
        <w:rPr>
          <w:sz w:val="24"/>
        </w:rPr>
        <w:t>t. (</w:t>
      </w:r>
      <w:r w:rsidRPr="002D151B">
        <w:rPr>
          <w:sz w:val="24"/>
          <w:highlight w:val="yellow"/>
        </w:rPr>
        <w:t>Link til ny NV veiledning når ferdigstilt).</w:t>
      </w:r>
    </w:p>
    <w:p w14:paraId="39AC9442" w14:textId="77777777" w:rsidR="006D6D2D" w:rsidRDefault="006D6D2D" w:rsidP="008F7A6B">
      <w:pPr>
        <w:pStyle w:val="Heading1"/>
      </w:pPr>
      <w:bookmarkStart w:id="23" w:name="_Toc442299944"/>
      <w:r>
        <w:t>Ekstra fokus på digitale sårbarheter</w:t>
      </w:r>
      <w:bookmarkEnd w:id="23"/>
    </w:p>
    <w:p w14:paraId="19F3CA85" w14:textId="0F920622" w:rsidR="0044505F" w:rsidRDefault="006D6D2D" w:rsidP="0044505F">
      <w:pPr>
        <w:spacing w:line="288" w:lineRule="auto"/>
        <w:jc w:val="both"/>
        <w:rPr>
          <w:rFonts w:ascii="Times New Roman" w:hAnsi="Times New Roman"/>
          <w:sz w:val="24"/>
          <w:lang w:bidi="en-US"/>
        </w:rPr>
      </w:pPr>
      <w:r w:rsidRPr="002E4F8B">
        <w:rPr>
          <w:rFonts w:ascii="Times New Roman" w:hAnsi="Times New Roman"/>
          <w:sz w:val="24"/>
        </w:rPr>
        <w:t>En viktig utviklingstrekk i vannforsyningen er den økende bruk av IKT og informasjonssystemer, samtidig som trusselbildet opp mot slike systemer øker. I de fleste ROS-analyser for vannverk blir det ikke fokusert på dette, en grunn kan være mangel på IKT-kompetanse både hos vannverkseier selv, men kanskje også hos eventuelle innleide konsulenter. Norsk Vann har utarbeidet en egen veiledning 195/2013</w:t>
      </w:r>
      <w:r>
        <w:rPr>
          <w:rStyle w:val="FootnoteReference"/>
          <w:rFonts w:ascii="Times New Roman" w:hAnsi="Times New Roman"/>
          <w:sz w:val="24"/>
        </w:rPr>
        <w:footnoteReference w:id="6"/>
      </w:r>
      <w:r w:rsidRPr="002E4F8B">
        <w:rPr>
          <w:rFonts w:ascii="Times New Roman" w:hAnsi="Times New Roman"/>
          <w:sz w:val="24"/>
        </w:rPr>
        <w:t xml:space="preserve"> knyttet til "Sikkerhet i driftskontrollsystemer innen VA" (Jaatun m.fl , 2013) hvor dette er satt på dagsorden. Sjekklister som er beskrevet her må inngå i ROS-analysen og beredskapsøvelser for vannverkene i større grad enn hva tilfellet er i dag. Utfordringen innen IKT er at utviklingen går så raskt at sjekklister fort blir avleggs.</w:t>
      </w:r>
      <w:r>
        <w:rPr>
          <w:rFonts w:ascii="Times New Roman" w:hAnsi="Times New Roman"/>
          <w:sz w:val="24"/>
        </w:rPr>
        <w:t xml:space="preserve"> Nasjonale Sikkerhetsmyndigheter (NSM) har også utarbeidet sjekklister som bør benyttes. Blant annet </w:t>
      </w:r>
      <w:r w:rsidRPr="00487F2F">
        <w:rPr>
          <w:rFonts w:ascii="Times New Roman" w:hAnsi="Times New Roman"/>
          <w:sz w:val="24"/>
        </w:rPr>
        <w:t>veiledning knyttet til "Sikring av industrielle automatiserte kontrollsystemer"</w:t>
      </w:r>
      <w:r>
        <w:rPr>
          <w:rFonts w:ascii="Times New Roman" w:hAnsi="Times New Roman"/>
          <w:sz w:val="24"/>
        </w:rPr>
        <w:t xml:space="preserve"> som kan fås ved å kontakte NSM. </w:t>
      </w:r>
      <w:r w:rsidR="0044505F" w:rsidRPr="00DF39F3">
        <w:rPr>
          <w:rFonts w:ascii="Times New Roman" w:hAnsi="Times New Roman"/>
          <w:sz w:val="24"/>
          <w:lang w:bidi="en-US"/>
        </w:rPr>
        <w:t xml:space="preserve">Samfunnets økende avhengighet av informasjons- og kommunikasjonsteknologi </w:t>
      </w:r>
      <w:r w:rsidR="0044505F">
        <w:rPr>
          <w:rFonts w:ascii="Times New Roman" w:hAnsi="Times New Roman"/>
          <w:sz w:val="24"/>
          <w:lang w:bidi="en-US"/>
        </w:rPr>
        <w:t xml:space="preserve">ble </w:t>
      </w:r>
      <w:r w:rsidR="0044505F" w:rsidRPr="00DF39F3">
        <w:rPr>
          <w:rFonts w:ascii="Times New Roman" w:hAnsi="Times New Roman"/>
          <w:sz w:val="24"/>
          <w:lang w:bidi="en-US"/>
        </w:rPr>
        <w:t xml:space="preserve">belyst </w:t>
      </w:r>
      <w:r w:rsidR="0044505F">
        <w:rPr>
          <w:rFonts w:ascii="Times New Roman" w:hAnsi="Times New Roman"/>
          <w:sz w:val="24"/>
          <w:lang w:bidi="en-US"/>
        </w:rPr>
        <w:t>i NOU 2015: 13 «</w:t>
      </w:r>
      <w:r w:rsidR="0044505F" w:rsidRPr="0044505F">
        <w:rPr>
          <w:rFonts w:ascii="Times New Roman" w:hAnsi="Times New Roman"/>
          <w:sz w:val="24"/>
          <w:lang w:bidi="en-US"/>
        </w:rPr>
        <w:t>Digital sårbarhet – sikkert samfunn</w:t>
      </w:r>
      <w:r w:rsidR="0044505F">
        <w:rPr>
          <w:rFonts w:ascii="Times New Roman" w:hAnsi="Times New Roman"/>
          <w:sz w:val="24"/>
          <w:lang w:bidi="en-US"/>
        </w:rPr>
        <w:t>»</w:t>
      </w:r>
      <w:r w:rsidR="0044505F">
        <w:rPr>
          <w:rStyle w:val="FootnoteReference"/>
          <w:rFonts w:ascii="Times New Roman" w:hAnsi="Times New Roman"/>
          <w:sz w:val="24"/>
          <w:lang w:bidi="en-US"/>
        </w:rPr>
        <w:footnoteReference w:id="7"/>
      </w:r>
      <w:r w:rsidR="0044505F" w:rsidRPr="00DF39F3">
        <w:rPr>
          <w:rFonts w:ascii="Times New Roman" w:hAnsi="Times New Roman"/>
          <w:sz w:val="24"/>
          <w:lang w:bidi="en-US"/>
        </w:rPr>
        <w:t xml:space="preserve"> som lever</w:t>
      </w:r>
      <w:r w:rsidR="0044505F">
        <w:rPr>
          <w:rFonts w:ascii="Times New Roman" w:hAnsi="Times New Roman"/>
          <w:sz w:val="24"/>
          <w:lang w:bidi="en-US"/>
        </w:rPr>
        <w:t>t</w:t>
      </w:r>
      <w:r w:rsidR="0044505F" w:rsidRPr="00DF39F3">
        <w:rPr>
          <w:rFonts w:ascii="Times New Roman" w:hAnsi="Times New Roman"/>
          <w:sz w:val="24"/>
          <w:lang w:bidi="en-US"/>
        </w:rPr>
        <w:t>e sin innstilling den 27. november 2015. Vannforsyning er trukket frem som et eget kapittel i denne utredningen</w:t>
      </w:r>
      <w:r w:rsidR="0044505F">
        <w:rPr>
          <w:rFonts w:ascii="Times New Roman" w:hAnsi="Times New Roman"/>
          <w:sz w:val="24"/>
          <w:lang w:bidi="en-US"/>
        </w:rPr>
        <w:t>, men også andre deler av rapporten bør leses av vannbransjen</w:t>
      </w:r>
      <w:r w:rsidR="0044505F" w:rsidRPr="00DF39F3">
        <w:rPr>
          <w:rFonts w:ascii="Times New Roman" w:hAnsi="Times New Roman"/>
          <w:sz w:val="24"/>
          <w:lang w:bidi="en-US"/>
        </w:rPr>
        <w:t>.</w:t>
      </w:r>
    </w:p>
    <w:p w14:paraId="6FF643F5" w14:textId="77777777" w:rsidR="006D6D2D" w:rsidRDefault="006D6D2D" w:rsidP="006D6D2D">
      <w:pPr>
        <w:spacing w:line="288" w:lineRule="auto"/>
        <w:jc w:val="both"/>
        <w:rPr>
          <w:rFonts w:ascii="Times New Roman" w:hAnsi="Times New Roman"/>
          <w:sz w:val="24"/>
        </w:rPr>
      </w:pPr>
      <w:r w:rsidRPr="002E4F8B">
        <w:rPr>
          <w:rFonts w:ascii="Times New Roman" w:hAnsi="Times New Roman"/>
          <w:sz w:val="24"/>
        </w:rPr>
        <w:t>Mattilsynets gjennomgang av informasjonssikkerhet knyttet til driftskontrollsystemer i vannbransjen</w:t>
      </w:r>
      <w:r>
        <w:rPr>
          <w:rFonts w:ascii="Times New Roman" w:hAnsi="Times New Roman"/>
          <w:sz w:val="24"/>
        </w:rPr>
        <w:t xml:space="preserve"> i 2015 </w:t>
      </w:r>
      <w:r w:rsidRPr="002E4F8B">
        <w:rPr>
          <w:rFonts w:ascii="Times New Roman" w:hAnsi="Times New Roman"/>
          <w:sz w:val="24"/>
        </w:rPr>
        <w:t>vis</w:t>
      </w:r>
      <w:r>
        <w:rPr>
          <w:rFonts w:ascii="Times New Roman" w:hAnsi="Times New Roman"/>
          <w:sz w:val="24"/>
        </w:rPr>
        <w:t>te</w:t>
      </w:r>
      <w:r w:rsidRPr="002E4F8B">
        <w:rPr>
          <w:rFonts w:ascii="Times New Roman" w:hAnsi="Times New Roman"/>
          <w:sz w:val="24"/>
        </w:rPr>
        <w:t xml:space="preserve"> at det er behov for ytterligere økt fokus og kunnskapsheving knyttet til informasjonssikkerhet</w:t>
      </w:r>
      <w:r>
        <w:rPr>
          <w:rFonts w:ascii="Times New Roman" w:hAnsi="Times New Roman"/>
          <w:sz w:val="24"/>
        </w:rPr>
        <w:t xml:space="preserve"> i hele organisasjonen. </w:t>
      </w:r>
      <w:r w:rsidRPr="009C363E">
        <w:rPr>
          <w:rFonts w:ascii="Times New Roman" w:hAnsi="Times New Roman"/>
          <w:sz w:val="24"/>
        </w:rPr>
        <w:t>Et godt sikkerhetsarbeid er i utgangspunktet et ledelsesansvar, men ledelsen må ha faglig støtte på informasjonssikkerhet, og hver enkelt ansatt må få øke sin bevissthet til og fokus på informasjonssikkerhet. Arbeidet med å sikre digital informasjon krever også økt samarbeid utover egen organisasjon. Dette inkluderer tettere samarbeid for eksempel med IKT -avdelingen i kommunen som er en viktig premiss leverandør for kommunale IKT -tjenester.</w:t>
      </w:r>
    </w:p>
    <w:p w14:paraId="0BDB3DD2" w14:textId="77777777" w:rsidR="003B4544" w:rsidRDefault="003B4544" w:rsidP="003B4544">
      <w:pPr>
        <w:spacing w:line="288" w:lineRule="auto"/>
        <w:jc w:val="both"/>
        <w:rPr>
          <w:rFonts w:ascii="Times New Roman" w:hAnsi="Times New Roman"/>
          <w:sz w:val="24"/>
        </w:rPr>
      </w:pPr>
      <w:r>
        <w:rPr>
          <w:rFonts w:ascii="Times New Roman" w:hAnsi="Times New Roman"/>
          <w:sz w:val="24"/>
        </w:rPr>
        <w:t>Det er i prosjektet laget en egen rapport-mal for hvordan infor</w:t>
      </w:r>
      <w:r w:rsidR="009C363E">
        <w:rPr>
          <w:rFonts w:ascii="Times New Roman" w:hAnsi="Times New Roman"/>
          <w:sz w:val="24"/>
        </w:rPr>
        <w:t xml:space="preserve">masjonssikkerhet kan </w:t>
      </w:r>
      <w:r w:rsidR="00487F2F">
        <w:rPr>
          <w:rFonts w:ascii="Times New Roman" w:hAnsi="Times New Roman"/>
          <w:sz w:val="24"/>
        </w:rPr>
        <w:t xml:space="preserve">vurderes. </w:t>
      </w:r>
      <w:r>
        <w:rPr>
          <w:rFonts w:ascii="Times New Roman" w:hAnsi="Times New Roman"/>
          <w:sz w:val="24"/>
        </w:rPr>
        <w:t>(</w:t>
      </w:r>
      <w:r w:rsidRPr="002E4F8B">
        <w:rPr>
          <w:rFonts w:ascii="Times New Roman" w:hAnsi="Times New Roman"/>
          <w:sz w:val="24"/>
          <w:highlight w:val="yellow"/>
        </w:rPr>
        <w:t>Link: Eksempel på ROS for IT DKS Vann</w:t>
      </w:r>
      <w:r>
        <w:rPr>
          <w:rFonts w:ascii="Times New Roman" w:hAnsi="Times New Roman"/>
          <w:sz w:val="24"/>
        </w:rPr>
        <w:t>).</w:t>
      </w:r>
      <w:r w:rsidR="00487F2F">
        <w:rPr>
          <w:rFonts w:ascii="Times New Roman" w:hAnsi="Times New Roman"/>
          <w:sz w:val="24"/>
        </w:rPr>
        <w:t xml:space="preserve"> </w:t>
      </w:r>
    </w:p>
    <w:p w14:paraId="74DF51D7" w14:textId="77777777" w:rsidR="00487F2F" w:rsidRDefault="00487F2F" w:rsidP="00646405">
      <w:pPr>
        <w:rPr>
          <w:rFonts w:ascii="Times New Roman" w:hAnsi="Times New Roman"/>
          <w:sz w:val="24"/>
        </w:rPr>
      </w:pPr>
    </w:p>
    <w:sectPr w:rsidR="00487F2F">
      <w:headerReference w:type="even" r:id="rId21"/>
      <w:head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0091EC" w14:textId="77777777" w:rsidR="00B87EE8" w:rsidRDefault="00B87EE8" w:rsidP="00250F32">
      <w:pPr>
        <w:spacing w:after="0" w:line="240" w:lineRule="auto"/>
      </w:pPr>
      <w:r>
        <w:separator/>
      </w:r>
    </w:p>
  </w:endnote>
  <w:endnote w:type="continuationSeparator" w:id="0">
    <w:p w14:paraId="1435CE3E" w14:textId="77777777" w:rsidR="00B87EE8" w:rsidRDefault="00B87EE8" w:rsidP="00250F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Open Sans">
    <w:altName w:val="Times New Roman"/>
    <w:charset w:val="00"/>
    <w:family w:val="auto"/>
    <w:pitch w:val="default"/>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D6770" w14:textId="77777777" w:rsidR="00B87EE8" w:rsidRDefault="00B87EE8">
    <w:pPr>
      <w:jc w:val="center"/>
      <w:rPr>
        <w:rFonts w:ascii="Helvetica" w:hAnsi="Helvetica"/>
        <w:sz w:val="14"/>
      </w:rPr>
    </w:pPr>
  </w:p>
  <w:p w14:paraId="650612B2" w14:textId="77777777" w:rsidR="00B87EE8" w:rsidRDefault="00B87EE8">
    <w:pPr>
      <w:jc w:val="center"/>
      <w:rPr>
        <w:rFonts w:ascii="Helvetica" w:hAnsi="Helvetica"/>
        <w:sz w:val="14"/>
      </w:rPr>
    </w:pPr>
    <w:r>
      <w:rPr>
        <w:rFonts w:ascii="Helvetica" w:hAnsi="Helvetica"/>
        <w:sz w:val="14"/>
      </w:rPr>
      <w:t>Dette notatet inneholder prosjektinformasjon og foreløpige resultater som underlag for endelig prosjektrapport.</w:t>
    </w:r>
  </w:p>
  <w:p w14:paraId="35081CCB" w14:textId="77777777" w:rsidR="00B87EE8" w:rsidRDefault="00B87EE8">
    <w:pPr>
      <w:jc w:val="center"/>
      <w:rPr>
        <w:rFonts w:ascii="Helvetica" w:hAnsi="Helvetica"/>
        <w:sz w:val="14"/>
      </w:rPr>
    </w:pPr>
    <w:r>
      <w:rPr>
        <w:rFonts w:ascii="Helvetica" w:hAnsi="Helvetica"/>
        <w:sz w:val="14"/>
      </w:rPr>
      <w:t>SINTEF hefter ikke for innholdet, og tar forbehold mot gjengivelse.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420AD2" w14:textId="77777777" w:rsidR="00B87EE8" w:rsidRDefault="00B87EE8" w:rsidP="00250F32">
      <w:pPr>
        <w:spacing w:after="0" w:line="240" w:lineRule="auto"/>
      </w:pPr>
      <w:r>
        <w:separator/>
      </w:r>
    </w:p>
  </w:footnote>
  <w:footnote w:type="continuationSeparator" w:id="0">
    <w:p w14:paraId="3974201A" w14:textId="77777777" w:rsidR="00B87EE8" w:rsidRDefault="00B87EE8" w:rsidP="00250F32">
      <w:pPr>
        <w:spacing w:after="0" w:line="240" w:lineRule="auto"/>
      </w:pPr>
      <w:r>
        <w:continuationSeparator/>
      </w:r>
    </w:p>
  </w:footnote>
  <w:footnote w:id="1">
    <w:p w14:paraId="2D7FCAA9" w14:textId="77777777" w:rsidR="00B87EE8" w:rsidRDefault="00B87EE8" w:rsidP="006D6D2D">
      <w:pPr>
        <w:pStyle w:val="FootnoteText"/>
      </w:pPr>
      <w:r>
        <w:rPr>
          <w:rStyle w:val="FootnoteReference"/>
        </w:rPr>
        <w:footnoteRef/>
      </w:r>
      <w:r>
        <w:t xml:space="preserve"> </w:t>
      </w:r>
      <w:hyperlink r:id="rId1" w:history="1">
        <w:r w:rsidRPr="00F2392F">
          <w:rPr>
            <w:rStyle w:val="Hyperlink"/>
          </w:rPr>
          <w:t>http://www.mattilsynet.no/mat_og_vann/vann/vannverk/veiledning_i_beredskapsplanlegging_for_vannverk.1894/BINARY/Veiledning%20i%20beredskapsplanlegging%20for%20vannverk</w:t>
        </w:r>
      </w:hyperlink>
      <w:r>
        <w:t xml:space="preserve"> </w:t>
      </w:r>
    </w:p>
  </w:footnote>
  <w:footnote w:id="2">
    <w:p w14:paraId="1A8E912F" w14:textId="77777777" w:rsidR="00B87EE8" w:rsidRDefault="00B87EE8" w:rsidP="006D6D2D">
      <w:pPr>
        <w:pStyle w:val="FootnoteText"/>
      </w:pPr>
      <w:r>
        <w:rPr>
          <w:rStyle w:val="FootnoteReference"/>
        </w:rPr>
        <w:footnoteRef/>
      </w:r>
      <w:r>
        <w:t xml:space="preserve"> </w:t>
      </w:r>
      <w:hyperlink r:id="rId2" w:history="1">
        <w:r w:rsidRPr="00CB5B4D">
          <w:rPr>
            <w:rStyle w:val="Hyperlink"/>
          </w:rPr>
          <w:t>http://www.energibesparelser-vand.dk/DDS%20-%20Drikkevandssikkerhed-412.aspx</w:t>
        </w:r>
      </w:hyperlink>
      <w:r>
        <w:t xml:space="preserve"> </w:t>
      </w:r>
    </w:p>
  </w:footnote>
  <w:footnote w:id="3">
    <w:p w14:paraId="6A647F1B" w14:textId="77777777" w:rsidR="00B87EE8" w:rsidRDefault="00B87EE8" w:rsidP="006D6D2D">
      <w:pPr>
        <w:pStyle w:val="FootnoteText"/>
      </w:pPr>
      <w:r>
        <w:rPr>
          <w:rStyle w:val="FootnoteReference"/>
        </w:rPr>
        <w:footnoteRef/>
      </w:r>
      <w:r>
        <w:t xml:space="preserve"> </w:t>
      </w:r>
      <w:hyperlink r:id="rId3" w:history="1">
        <w:r w:rsidRPr="00CB5B4D">
          <w:rPr>
            <w:rStyle w:val="Hyperlink"/>
          </w:rPr>
          <w:t>http://www.norskvann.no/kompetanse/va-bokhandelen/rapporter/product/433-r188-veiledning-for-drift-av-koaguleringsanlegg</w:t>
        </w:r>
      </w:hyperlink>
      <w:r>
        <w:t xml:space="preserve"> </w:t>
      </w:r>
    </w:p>
  </w:footnote>
  <w:footnote w:id="4">
    <w:p w14:paraId="2C6D1024" w14:textId="77777777" w:rsidR="00B87EE8" w:rsidRDefault="00B87EE8" w:rsidP="006D6D2D">
      <w:pPr>
        <w:pStyle w:val="FootnoteText"/>
      </w:pPr>
      <w:r>
        <w:rPr>
          <w:rStyle w:val="FootnoteReference"/>
        </w:rPr>
        <w:footnoteRef/>
      </w:r>
      <w:r>
        <w:t xml:space="preserve"> </w:t>
      </w:r>
      <w:hyperlink r:id="rId4" w:history="1">
        <w:r w:rsidRPr="00CB5B4D">
          <w:rPr>
            <w:rStyle w:val="Hyperlink"/>
          </w:rPr>
          <w:t>http://www.norskvann.no/kompetanse/va-bokhandelen/rapporter/product/168-r164-veiledning-for-uv-desinfeksjon-av-drikkevann</w:t>
        </w:r>
      </w:hyperlink>
      <w:r>
        <w:t xml:space="preserve"> </w:t>
      </w:r>
    </w:p>
  </w:footnote>
  <w:footnote w:id="5">
    <w:p w14:paraId="6F110D0B" w14:textId="77777777" w:rsidR="00B87EE8" w:rsidRDefault="00B87EE8" w:rsidP="006D6D2D">
      <w:pPr>
        <w:pStyle w:val="FootnoteText"/>
      </w:pPr>
      <w:r>
        <w:rPr>
          <w:rStyle w:val="FootnoteReference"/>
        </w:rPr>
        <w:footnoteRef/>
      </w:r>
      <w:r>
        <w:t xml:space="preserve"> </w:t>
      </w:r>
      <w:hyperlink r:id="rId5" w:history="1">
        <w:r w:rsidRPr="00BC7BA8">
          <w:rPr>
            <w:rStyle w:val="Hyperlink"/>
          </w:rPr>
          <w:t>http://www.mattilsynet.no/mattilsynet/multimedia/archive/00065/Veileder_til_forskri_65830a.pdf</w:t>
        </w:r>
      </w:hyperlink>
      <w:r>
        <w:t xml:space="preserve"> </w:t>
      </w:r>
    </w:p>
  </w:footnote>
  <w:footnote w:id="6">
    <w:p w14:paraId="7C2E4246" w14:textId="77777777" w:rsidR="00B87EE8" w:rsidRDefault="00B87EE8" w:rsidP="006D6D2D">
      <w:pPr>
        <w:pStyle w:val="FootnoteText"/>
      </w:pPr>
      <w:r>
        <w:rPr>
          <w:rStyle w:val="FootnoteReference"/>
        </w:rPr>
        <w:footnoteRef/>
      </w:r>
      <w:r>
        <w:t xml:space="preserve"> </w:t>
      </w:r>
      <w:hyperlink r:id="rId6" w:history="1">
        <w:r w:rsidRPr="00CB5B4D">
          <w:rPr>
            <w:rStyle w:val="Hyperlink"/>
          </w:rPr>
          <w:t>http://norskvann.no/index.php?option=com_hikashop&amp;ctrl=product&amp;task=show&amp;cid=418&amp;name=r195-veiledning-for-sikkerhet-av-driftskontrollsystemer-for-va-systemer&amp;Itemid=1011&amp;category_pathway</w:t>
        </w:r>
      </w:hyperlink>
      <w:r w:rsidRPr="00AE655C">
        <w:t>=</w:t>
      </w:r>
      <w:r>
        <w:t xml:space="preserve"> </w:t>
      </w:r>
    </w:p>
  </w:footnote>
  <w:footnote w:id="7">
    <w:p w14:paraId="71CE4F38" w14:textId="024AFC94" w:rsidR="0044505F" w:rsidRDefault="0044505F">
      <w:pPr>
        <w:pStyle w:val="FootnoteText"/>
      </w:pPr>
      <w:r>
        <w:rPr>
          <w:rStyle w:val="FootnoteReference"/>
        </w:rPr>
        <w:footnoteRef/>
      </w:r>
      <w:hyperlink r:id="rId7" w:history="1">
        <w:r w:rsidRPr="00362AAA">
          <w:rPr>
            <w:rStyle w:val="Hyperlink"/>
            <w:rFonts w:ascii="Open Sans" w:hAnsi="Open Sans"/>
          </w:rPr>
          <w:t>https://www.regjeringen.no/no/dokumenter/nou-2015-13/id2464370/</w:t>
        </w:r>
      </w:hyperlink>
      <w:r>
        <w:rPr>
          <w:rFonts w:ascii="Open Sans" w:hAnsi="Open Sans"/>
          <w:color w:val="000000"/>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D0AB57" w14:textId="681F57D3" w:rsidR="00B87EE8" w:rsidRDefault="00B87EE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000" w:firstRow="0" w:lastRow="0" w:firstColumn="0" w:lastColumn="0" w:noHBand="0" w:noVBand="0"/>
    </w:tblPr>
    <w:tblGrid>
      <w:gridCol w:w="4700"/>
      <w:gridCol w:w="4906"/>
    </w:tblGrid>
    <w:tr w:rsidR="00B87EE8" w14:paraId="4BD836C0" w14:textId="77777777">
      <w:trPr>
        <w:trHeight w:val="988"/>
      </w:trPr>
      <w:tc>
        <w:tcPr>
          <w:tcW w:w="4700" w:type="dxa"/>
        </w:tcPr>
        <w:p w14:paraId="2BD4690D" w14:textId="6C1A3DCE" w:rsidR="00B87EE8" w:rsidRDefault="00B87EE8">
          <w:pPr>
            <w:pStyle w:val="Header"/>
            <w:spacing w:before="160"/>
            <w:rPr>
              <w:noProof/>
            </w:rPr>
          </w:pPr>
          <w:r>
            <w:rPr>
              <w:noProof/>
              <w:lang w:val="en-US" w:eastAsia="en-US"/>
            </w:rPr>
            <w:drawing>
              <wp:anchor distT="0" distB="0" distL="114300" distR="114300" simplePos="0" relativeHeight="251659264" behindDoc="0" locked="0" layoutInCell="0" allowOverlap="1" wp14:anchorId="1E828845" wp14:editId="10B2849A">
                <wp:simplePos x="0" y="0"/>
                <wp:positionH relativeFrom="page">
                  <wp:posOffset>935990</wp:posOffset>
                </wp:positionH>
                <wp:positionV relativeFrom="page">
                  <wp:posOffset>323850</wp:posOffset>
                </wp:positionV>
                <wp:extent cx="1289050" cy="267970"/>
                <wp:effectExtent l="19050" t="0" r="6350" b="0"/>
                <wp:wrapTopAndBottom/>
                <wp:docPr id="1" name="Picture 1" descr="SINTEF_hovedlogo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TEF_hovedlogo_black"/>
                        <pic:cNvPicPr>
                          <a:picLocks noChangeAspect="1" noChangeArrowheads="1"/>
                        </pic:cNvPicPr>
                      </pic:nvPicPr>
                      <pic:blipFill>
                        <a:blip r:embed="rId1"/>
                        <a:srcRect/>
                        <a:stretch>
                          <a:fillRect/>
                        </a:stretch>
                      </pic:blipFill>
                      <pic:spPr bwMode="auto">
                        <a:xfrm>
                          <a:off x="0" y="0"/>
                          <a:ext cx="1289050" cy="267970"/>
                        </a:xfrm>
                        <a:prstGeom prst="rect">
                          <a:avLst/>
                        </a:prstGeom>
                        <a:noFill/>
                      </pic:spPr>
                    </pic:pic>
                  </a:graphicData>
                </a:graphic>
              </wp:anchor>
            </w:drawing>
          </w:r>
        </w:p>
      </w:tc>
      <w:tc>
        <w:tcPr>
          <w:tcW w:w="4906" w:type="dxa"/>
        </w:tcPr>
        <w:p w14:paraId="0ECED22C" w14:textId="77777777" w:rsidR="00B87EE8" w:rsidRDefault="00B87EE8">
          <w:pPr>
            <w:pStyle w:val="xkaSkjemaTekst"/>
            <w:jc w:val="right"/>
          </w:pPr>
        </w:p>
        <w:p w14:paraId="2F61892C" w14:textId="77777777" w:rsidR="00B87EE8" w:rsidRDefault="00B87EE8">
          <w:pPr>
            <w:pStyle w:val="xkaSkjemaTekst"/>
            <w:jc w:val="right"/>
          </w:pPr>
          <w:r>
            <w:fldChar w:fldCharType="begin"/>
          </w:r>
          <w:r>
            <w:instrText>\PAGE</w:instrText>
          </w:r>
          <w:r>
            <w:fldChar w:fldCharType="separate"/>
          </w:r>
          <w:r w:rsidR="005F3DAA">
            <w:t>1</w:t>
          </w:r>
          <w:r>
            <w:fldChar w:fldCharType="end"/>
          </w:r>
        </w:p>
      </w:tc>
    </w:tr>
  </w:tbl>
  <w:p w14:paraId="40B92E74" w14:textId="15792314" w:rsidR="00B87EE8" w:rsidRDefault="00B87EE8">
    <w:pPr>
      <w:pStyle w:val="Header"/>
      <w:ind w:right="-2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D7D585" w14:textId="32E07618" w:rsidR="00B87EE8" w:rsidRDefault="00B87EE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15FE8"/>
    <w:multiLevelType w:val="hybridMultilevel"/>
    <w:tmpl w:val="088E80E4"/>
    <w:lvl w:ilvl="0" w:tplc="0414000B">
      <w:start w:val="1"/>
      <w:numFmt w:val="bullet"/>
      <w:lvlText w:val=""/>
      <w:lvlJc w:val="left"/>
      <w:pPr>
        <w:tabs>
          <w:tab w:val="num" w:pos="720"/>
        </w:tabs>
        <w:ind w:left="720" w:hanging="360"/>
      </w:pPr>
      <w:rPr>
        <w:rFonts w:ascii="Wingdings" w:hAnsi="Wingdings"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3A32B70"/>
    <w:multiLevelType w:val="hybridMultilevel"/>
    <w:tmpl w:val="48BCDCE4"/>
    <w:lvl w:ilvl="0" w:tplc="E738DE2E">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2" w15:restartNumberingAfterBreak="0">
    <w:nsid w:val="064F35EE"/>
    <w:multiLevelType w:val="hybridMultilevel"/>
    <w:tmpl w:val="5BB83CC4"/>
    <w:lvl w:ilvl="0" w:tplc="04140017">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3" w15:restartNumberingAfterBreak="0">
    <w:nsid w:val="07BA0FB7"/>
    <w:multiLevelType w:val="hybridMultilevel"/>
    <w:tmpl w:val="0834EF88"/>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089C03C8"/>
    <w:multiLevelType w:val="hybridMultilevel"/>
    <w:tmpl w:val="A09AE12C"/>
    <w:lvl w:ilvl="0" w:tplc="2EA28B04">
      <w:start w:val="1"/>
      <w:numFmt w:val="decimal"/>
      <w:lvlText w:val="%1."/>
      <w:lvlJc w:val="left"/>
      <w:pPr>
        <w:tabs>
          <w:tab w:val="num" w:pos="687"/>
        </w:tabs>
        <w:ind w:left="687" w:hanging="360"/>
      </w:pPr>
    </w:lvl>
    <w:lvl w:ilvl="1" w:tplc="853E1B88">
      <w:start w:val="1"/>
      <w:numFmt w:val="lowerLetter"/>
      <w:lvlText w:val="%2."/>
      <w:lvlJc w:val="left"/>
      <w:pPr>
        <w:tabs>
          <w:tab w:val="num" w:pos="1407"/>
        </w:tabs>
        <w:ind w:left="1407" w:hanging="360"/>
      </w:pPr>
    </w:lvl>
    <w:lvl w:ilvl="2" w:tplc="95267424">
      <w:start w:val="1"/>
      <w:numFmt w:val="lowerRoman"/>
      <w:lvlText w:val="%3."/>
      <w:lvlJc w:val="right"/>
      <w:pPr>
        <w:tabs>
          <w:tab w:val="num" w:pos="2127"/>
        </w:tabs>
        <w:ind w:left="2127" w:hanging="180"/>
      </w:pPr>
    </w:lvl>
    <w:lvl w:ilvl="3" w:tplc="29504EE8" w:tentative="1">
      <w:start w:val="1"/>
      <w:numFmt w:val="decimal"/>
      <w:lvlText w:val="%4."/>
      <w:lvlJc w:val="left"/>
      <w:pPr>
        <w:tabs>
          <w:tab w:val="num" w:pos="2847"/>
        </w:tabs>
        <w:ind w:left="2847" w:hanging="360"/>
      </w:pPr>
    </w:lvl>
    <w:lvl w:ilvl="4" w:tplc="925A22CC" w:tentative="1">
      <w:start w:val="1"/>
      <w:numFmt w:val="lowerLetter"/>
      <w:lvlText w:val="%5."/>
      <w:lvlJc w:val="left"/>
      <w:pPr>
        <w:tabs>
          <w:tab w:val="num" w:pos="3567"/>
        </w:tabs>
        <w:ind w:left="3567" w:hanging="360"/>
      </w:pPr>
    </w:lvl>
    <w:lvl w:ilvl="5" w:tplc="6666B24A" w:tentative="1">
      <w:start w:val="1"/>
      <w:numFmt w:val="lowerRoman"/>
      <w:lvlText w:val="%6."/>
      <w:lvlJc w:val="right"/>
      <w:pPr>
        <w:tabs>
          <w:tab w:val="num" w:pos="4287"/>
        </w:tabs>
        <w:ind w:left="4287" w:hanging="180"/>
      </w:pPr>
    </w:lvl>
    <w:lvl w:ilvl="6" w:tplc="3D34807C" w:tentative="1">
      <w:start w:val="1"/>
      <w:numFmt w:val="decimal"/>
      <w:lvlText w:val="%7."/>
      <w:lvlJc w:val="left"/>
      <w:pPr>
        <w:tabs>
          <w:tab w:val="num" w:pos="5007"/>
        </w:tabs>
        <w:ind w:left="5007" w:hanging="360"/>
      </w:pPr>
    </w:lvl>
    <w:lvl w:ilvl="7" w:tplc="883AAEA8" w:tentative="1">
      <w:start w:val="1"/>
      <w:numFmt w:val="lowerLetter"/>
      <w:lvlText w:val="%8."/>
      <w:lvlJc w:val="left"/>
      <w:pPr>
        <w:tabs>
          <w:tab w:val="num" w:pos="5727"/>
        </w:tabs>
        <w:ind w:left="5727" w:hanging="360"/>
      </w:pPr>
    </w:lvl>
    <w:lvl w:ilvl="8" w:tplc="D3504894" w:tentative="1">
      <w:start w:val="1"/>
      <w:numFmt w:val="lowerRoman"/>
      <w:lvlText w:val="%9."/>
      <w:lvlJc w:val="right"/>
      <w:pPr>
        <w:tabs>
          <w:tab w:val="num" w:pos="6447"/>
        </w:tabs>
        <w:ind w:left="6447" w:hanging="180"/>
      </w:pPr>
    </w:lvl>
  </w:abstractNum>
  <w:abstractNum w:abstractNumId="5" w15:restartNumberingAfterBreak="0">
    <w:nsid w:val="0E36672D"/>
    <w:multiLevelType w:val="hybridMultilevel"/>
    <w:tmpl w:val="D3A4BC18"/>
    <w:lvl w:ilvl="0" w:tplc="04140017">
      <w:start w:val="1"/>
      <w:numFmt w:val="lowerLetter"/>
      <w:lvlText w:val="%1)"/>
      <w:lvlJc w:val="left"/>
      <w:pPr>
        <w:ind w:left="1080" w:hanging="360"/>
      </w:pPr>
      <w:rPr>
        <w:rFonts w:hint="default"/>
      </w:rPr>
    </w:lvl>
    <w:lvl w:ilvl="1" w:tplc="6FD26E2A">
      <w:start w:val="1"/>
      <w:numFmt w:val="decimal"/>
      <w:lvlText w:val="%2."/>
      <w:lvlJc w:val="left"/>
      <w:pPr>
        <w:ind w:left="1800" w:hanging="360"/>
      </w:pPr>
      <w:rPr>
        <w:rFonts w:hint="default"/>
      </w:r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6" w15:restartNumberingAfterBreak="0">
    <w:nsid w:val="0E370887"/>
    <w:multiLevelType w:val="hybridMultilevel"/>
    <w:tmpl w:val="FDEAC11C"/>
    <w:lvl w:ilvl="0" w:tplc="04140017">
      <w:start w:val="1"/>
      <w:numFmt w:val="lowerLetter"/>
      <w:lvlText w:val="%1)"/>
      <w:lvlJc w:val="left"/>
      <w:pPr>
        <w:ind w:left="1080" w:hanging="360"/>
      </w:pPr>
      <w:rPr>
        <w:rFonts w:hint="default"/>
      </w:rPr>
    </w:lvl>
    <w:lvl w:ilvl="1" w:tplc="C6400756">
      <w:numFmt w:val="bullet"/>
      <w:lvlText w:val="•"/>
      <w:lvlJc w:val="left"/>
      <w:pPr>
        <w:ind w:left="2145" w:hanging="705"/>
      </w:pPr>
      <w:rPr>
        <w:rFonts w:ascii="Arial" w:eastAsiaTheme="minorHAnsi" w:hAnsi="Arial" w:cs="Arial" w:hint="default"/>
      </w:r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7" w15:restartNumberingAfterBreak="0">
    <w:nsid w:val="10170433"/>
    <w:multiLevelType w:val="hybridMultilevel"/>
    <w:tmpl w:val="AFCA4C94"/>
    <w:lvl w:ilvl="0" w:tplc="5538D9F4">
      <w:start w:val="1"/>
      <w:numFmt w:val="lowerLetter"/>
      <w:lvlText w:val="%1)"/>
      <w:lvlJc w:val="left"/>
      <w:pPr>
        <w:ind w:left="1080" w:hanging="360"/>
      </w:pPr>
      <w:rPr>
        <w:rFonts w:ascii="Arial" w:eastAsiaTheme="minorHAnsi" w:hAnsi="Arial" w:cs="Arial"/>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8" w15:restartNumberingAfterBreak="0">
    <w:nsid w:val="117140E3"/>
    <w:multiLevelType w:val="hybridMultilevel"/>
    <w:tmpl w:val="2FBC98A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9" w15:restartNumberingAfterBreak="0">
    <w:nsid w:val="12311A09"/>
    <w:multiLevelType w:val="hybridMultilevel"/>
    <w:tmpl w:val="8A7092E8"/>
    <w:lvl w:ilvl="0" w:tplc="04140001">
      <w:start w:val="1"/>
      <w:numFmt w:val="bullet"/>
      <w:lvlText w:val=""/>
      <w:lvlJc w:val="left"/>
      <w:pPr>
        <w:ind w:left="360" w:hanging="360"/>
      </w:pPr>
      <w:rPr>
        <w:rFonts w:ascii="Symbol" w:hAnsi="Symbol" w:hint="default"/>
      </w:rPr>
    </w:lvl>
    <w:lvl w:ilvl="1" w:tplc="04140003">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0" w15:restartNumberingAfterBreak="0">
    <w:nsid w:val="191743B2"/>
    <w:multiLevelType w:val="hybridMultilevel"/>
    <w:tmpl w:val="EE864FFA"/>
    <w:lvl w:ilvl="0" w:tplc="04140017">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11" w15:restartNumberingAfterBreak="0">
    <w:nsid w:val="1BD74090"/>
    <w:multiLevelType w:val="hybridMultilevel"/>
    <w:tmpl w:val="3D425D1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2" w15:restartNumberingAfterBreak="0">
    <w:nsid w:val="26944452"/>
    <w:multiLevelType w:val="hybridMultilevel"/>
    <w:tmpl w:val="846CB060"/>
    <w:lvl w:ilvl="0" w:tplc="04140017">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13" w15:restartNumberingAfterBreak="0">
    <w:nsid w:val="27063B05"/>
    <w:multiLevelType w:val="hybridMultilevel"/>
    <w:tmpl w:val="428E96C8"/>
    <w:lvl w:ilvl="0" w:tplc="04140017">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14" w15:restartNumberingAfterBreak="0">
    <w:nsid w:val="2F045E5F"/>
    <w:multiLevelType w:val="hybridMultilevel"/>
    <w:tmpl w:val="4ED247C8"/>
    <w:lvl w:ilvl="0" w:tplc="04090001">
      <w:start w:val="1"/>
      <w:numFmt w:val="bullet"/>
      <w:lvlText w:val=""/>
      <w:lvlJc w:val="left"/>
      <w:pPr>
        <w:tabs>
          <w:tab w:val="num" w:pos="720"/>
        </w:tabs>
        <w:ind w:left="720" w:hanging="360"/>
      </w:pPr>
      <w:rPr>
        <w:rFonts w:ascii="Symbol" w:hAnsi="Symbol" w:hint="default"/>
        <w:sz w:val="16"/>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3EEE646B"/>
    <w:multiLevelType w:val="hybridMultilevel"/>
    <w:tmpl w:val="6452FDCE"/>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15:restartNumberingAfterBreak="0">
    <w:nsid w:val="40F41B2D"/>
    <w:multiLevelType w:val="hybridMultilevel"/>
    <w:tmpl w:val="6CAEB80E"/>
    <w:lvl w:ilvl="0" w:tplc="04140001">
      <w:start w:val="1"/>
      <w:numFmt w:val="bullet"/>
      <w:lvlText w:val=""/>
      <w:lvlJc w:val="left"/>
      <w:pPr>
        <w:tabs>
          <w:tab w:val="num" w:pos="720"/>
        </w:tabs>
        <w:ind w:left="720" w:hanging="360"/>
      </w:pPr>
      <w:rPr>
        <w:rFonts w:ascii="Symbol" w:hAnsi="Symbol" w:hint="default"/>
      </w:rPr>
    </w:lvl>
    <w:lvl w:ilvl="1" w:tplc="04140019">
      <w:start w:val="1"/>
      <w:numFmt w:val="lowerLetter"/>
      <w:lvlText w:val="%2."/>
      <w:lvlJc w:val="left"/>
      <w:pPr>
        <w:ind w:left="1440" w:hanging="360"/>
      </w:pPr>
      <w:rPr>
        <w:rFonts w:cs="Times New Roman"/>
      </w:rPr>
    </w:lvl>
    <w:lvl w:ilvl="2" w:tplc="0414001B" w:tentative="1">
      <w:start w:val="1"/>
      <w:numFmt w:val="lowerRoman"/>
      <w:lvlText w:val="%3."/>
      <w:lvlJc w:val="right"/>
      <w:pPr>
        <w:ind w:left="2160" w:hanging="180"/>
      </w:pPr>
      <w:rPr>
        <w:rFonts w:cs="Times New Roman"/>
      </w:rPr>
    </w:lvl>
    <w:lvl w:ilvl="3" w:tplc="0414000F" w:tentative="1">
      <w:start w:val="1"/>
      <w:numFmt w:val="decimal"/>
      <w:lvlText w:val="%4."/>
      <w:lvlJc w:val="left"/>
      <w:pPr>
        <w:ind w:left="2880" w:hanging="360"/>
      </w:pPr>
      <w:rPr>
        <w:rFonts w:cs="Times New Roman"/>
      </w:rPr>
    </w:lvl>
    <w:lvl w:ilvl="4" w:tplc="04140019" w:tentative="1">
      <w:start w:val="1"/>
      <w:numFmt w:val="lowerLetter"/>
      <w:lvlText w:val="%5."/>
      <w:lvlJc w:val="left"/>
      <w:pPr>
        <w:ind w:left="3600" w:hanging="360"/>
      </w:pPr>
      <w:rPr>
        <w:rFonts w:cs="Times New Roman"/>
      </w:rPr>
    </w:lvl>
    <w:lvl w:ilvl="5" w:tplc="0414001B" w:tentative="1">
      <w:start w:val="1"/>
      <w:numFmt w:val="lowerRoman"/>
      <w:lvlText w:val="%6."/>
      <w:lvlJc w:val="right"/>
      <w:pPr>
        <w:ind w:left="4320" w:hanging="180"/>
      </w:pPr>
      <w:rPr>
        <w:rFonts w:cs="Times New Roman"/>
      </w:rPr>
    </w:lvl>
    <w:lvl w:ilvl="6" w:tplc="0414000F" w:tentative="1">
      <w:start w:val="1"/>
      <w:numFmt w:val="decimal"/>
      <w:lvlText w:val="%7."/>
      <w:lvlJc w:val="left"/>
      <w:pPr>
        <w:ind w:left="5040" w:hanging="360"/>
      </w:pPr>
      <w:rPr>
        <w:rFonts w:cs="Times New Roman"/>
      </w:rPr>
    </w:lvl>
    <w:lvl w:ilvl="7" w:tplc="04140019" w:tentative="1">
      <w:start w:val="1"/>
      <w:numFmt w:val="lowerLetter"/>
      <w:lvlText w:val="%8."/>
      <w:lvlJc w:val="left"/>
      <w:pPr>
        <w:ind w:left="5760" w:hanging="360"/>
      </w:pPr>
      <w:rPr>
        <w:rFonts w:cs="Times New Roman"/>
      </w:rPr>
    </w:lvl>
    <w:lvl w:ilvl="8" w:tplc="0414001B" w:tentative="1">
      <w:start w:val="1"/>
      <w:numFmt w:val="lowerRoman"/>
      <w:lvlText w:val="%9."/>
      <w:lvlJc w:val="right"/>
      <w:pPr>
        <w:ind w:left="6480" w:hanging="180"/>
      </w:pPr>
      <w:rPr>
        <w:rFonts w:cs="Times New Roman"/>
      </w:rPr>
    </w:lvl>
  </w:abstractNum>
  <w:abstractNum w:abstractNumId="17" w15:restartNumberingAfterBreak="0">
    <w:nsid w:val="441B74FD"/>
    <w:multiLevelType w:val="hybridMultilevel"/>
    <w:tmpl w:val="DE04FE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EB7535F"/>
    <w:multiLevelType w:val="hybridMultilevel"/>
    <w:tmpl w:val="7B7011E2"/>
    <w:lvl w:ilvl="0" w:tplc="FD22AEF0">
      <w:start w:val="1"/>
      <w:numFmt w:val="bullet"/>
      <w:lvlText w:val=""/>
      <w:lvlJc w:val="left"/>
      <w:pPr>
        <w:ind w:left="720" w:hanging="360"/>
      </w:pPr>
      <w:rPr>
        <w:rFonts w:ascii="Symbol" w:hAnsi="Symbol" w:hint="default"/>
      </w:rPr>
    </w:lvl>
    <w:lvl w:ilvl="1" w:tplc="CC883008" w:tentative="1">
      <w:start w:val="1"/>
      <w:numFmt w:val="bullet"/>
      <w:lvlText w:val="o"/>
      <w:lvlJc w:val="left"/>
      <w:pPr>
        <w:ind w:left="1440" w:hanging="360"/>
      </w:pPr>
      <w:rPr>
        <w:rFonts w:ascii="Courier New" w:hAnsi="Courier New" w:cs="Courier New" w:hint="default"/>
      </w:rPr>
    </w:lvl>
    <w:lvl w:ilvl="2" w:tplc="336E778A" w:tentative="1">
      <w:start w:val="1"/>
      <w:numFmt w:val="bullet"/>
      <w:lvlText w:val=""/>
      <w:lvlJc w:val="left"/>
      <w:pPr>
        <w:ind w:left="2160" w:hanging="360"/>
      </w:pPr>
      <w:rPr>
        <w:rFonts w:ascii="Wingdings" w:hAnsi="Wingdings" w:hint="default"/>
      </w:rPr>
    </w:lvl>
    <w:lvl w:ilvl="3" w:tplc="487ACEBC" w:tentative="1">
      <w:start w:val="1"/>
      <w:numFmt w:val="bullet"/>
      <w:lvlText w:val=""/>
      <w:lvlJc w:val="left"/>
      <w:pPr>
        <w:ind w:left="2880" w:hanging="360"/>
      </w:pPr>
      <w:rPr>
        <w:rFonts w:ascii="Symbol" w:hAnsi="Symbol" w:hint="default"/>
      </w:rPr>
    </w:lvl>
    <w:lvl w:ilvl="4" w:tplc="7F7C4E42" w:tentative="1">
      <w:start w:val="1"/>
      <w:numFmt w:val="bullet"/>
      <w:lvlText w:val="o"/>
      <w:lvlJc w:val="left"/>
      <w:pPr>
        <w:ind w:left="3600" w:hanging="360"/>
      </w:pPr>
      <w:rPr>
        <w:rFonts w:ascii="Courier New" w:hAnsi="Courier New" w:cs="Courier New" w:hint="default"/>
      </w:rPr>
    </w:lvl>
    <w:lvl w:ilvl="5" w:tplc="C5F286AA" w:tentative="1">
      <w:start w:val="1"/>
      <w:numFmt w:val="bullet"/>
      <w:lvlText w:val=""/>
      <w:lvlJc w:val="left"/>
      <w:pPr>
        <w:ind w:left="4320" w:hanging="360"/>
      </w:pPr>
      <w:rPr>
        <w:rFonts w:ascii="Wingdings" w:hAnsi="Wingdings" w:hint="default"/>
      </w:rPr>
    </w:lvl>
    <w:lvl w:ilvl="6" w:tplc="91027D42" w:tentative="1">
      <w:start w:val="1"/>
      <w:numFmt w:val="bullet"/>
      <w:lvlText w:val=""/>
      <w:lvlJc w:val="left"/>
      <w:pPr>
        <w:ind w:left="5040" w:hanging="360"/>
      </w:pPr>
      <w:rPr>
        <w:rFonts w:ascii="Symbol" w:hAnsi="Symbol" w:hint="default"/>
      </w:rPr>
    </w:lvl>
    <w:lvl w:ilvl="7" w:tplc="BEE29154" w:tentative="1">
      <w:start w:val="1"/>
      <w:numFmt w:val="bullet"/>
      <w:lvlText w:val="o"/>
      <w:lvlJc w:val="left"/>
      <w:pPr>
        <w:ind w:left="5760" w:hanging="360"/>
      </w:pPr>
      <w:rPr>
        <w:rFonts w:ascii="Courier New" w:hAnsi="Courier New" w:cs="Courier New" w:hint="default"/>
      </w:rPr>
    </w:lvl>
    <w:lvl w:ilvl="8" w:tplc="D4D2FC00" w:tentative="1">
      <w:start w:val="1"/>
      <w:numFmt w:val="bullet"/>
      <w:lvlText w:val=""/>
      <w:lvlJc w:val="left"/>
      <w:pPr>
        <w:ind w:left="6480" w:hanging="360"/>
      </w:pPr>
      <w:rPr>
        <w:rFonts w:ascii="Wingdings" w:hAnsi="Wingdings" w:hint="default"/>
      </w:rPr>
    </w:lvl>
  </w:abstractNum>
  <w:abstractNum w:abstractNumId="19" w15:restartNumberingAfterBreak="0">
    <w:nsid w:val="610F521F"/>
    <w:multiLevelType w:val="hybridMultilevel"/>
    <w:tmpl w:val="69E4D43A"/>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0" w15:restartNumberingAfterBreak="0">
    <w:nsid w:val="617337DB"/>
    <w:multiLevelType w:val="hybridMultilevel"/>
    <w:tmpl w:val="B46AC224"/>
    <w:lvl w:ilvl="0" w:tplc="04140017">
      <w:start w:val="1"/>
      <w:numFmt w:val="lowerLetter"/>
      <w:lvlText w:val="%1)"/>
      <w:lvlJc w:val="left"/>
      <w:pPr>
        <w:ind w:left="1080" w:hanging="360"/>
      </w:pPr>
      <w:rPr>
        <w:rFonts w:hint="default"/>
      </w:rPr>
    </w:lvl>
    <w:lvl w:ilvl="1" w:tplc="04140019" w:tentative="1">
      <w:start w:val="1"/>
      <w:numFmt w:val="lowerLetter"/>
      <w:lvlText w:val="%2."/>
      <w:lvlJc w:val="left"/>
      <w:pPr>
        <w:ind w:left="1800" w:hanging="360"/>
      </w:pPr>
    </w:lvl>
    <w:lvl w:ilvl="2" w:tplc="0414001B" w:tentative="1">
      <w:start w:val="1"/>
      <w:numFmt w:val="lowerRoman"/>
      <w:lvlText w:val="%3."/>
      <w:lvlJc w:val="right"/>
      <w:pPr>
        <w:ind w:left="2520" w:hanging="180"/>
      </w:pPr>
    </w:lvl>
    <w:lvl w:ilvl="3" w:tplc="0414000F" w:tentative="1">
      <w:start w:val="1"/>
      <w:numFmt w:val="decimal"/>
      <w:lvlText w:val="%4."/>
      <w:lvlJc w:val="left"/>
      <w:pPr>
        <w:ind w:left="3240" w:hanging="360"/>
      </w:pPr>
    </w:lvl>
    <w:lvl w:ilvl="4" w:tplc="04140019" w:tentative="1">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21" w15:restartNumberingAfterBreak="0">
    <w:nsid w:val="67CB19B3"/>
    <w:multiLevelType w:val="hybridMultilevel"/>
    <w:tmpl w:val="3A80B186"/>
    <w:lvl w:ilvl="0" w:tplc="87F65464">
      <w:start w:val="1"/>
      <w:numFmt w:val="bullet"/>
      <w:lvlText w:val=""/>
      <w:lvlJc w:val="left"/>
      <w:pPr>
        <w:tabs>
          <w:tab w:val="num" w:pos="720"/>
        </w:tabs>
        <w:ind w:left="720" w:hanging="360"/>
      </w:pPr>
      <w:rPr>
        <w:rFonts w:ascii="Symbol" w:hAnsi="Symbol" w:hint="default"/>
        <w:sz w:val="16"/>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70221474"/>
    <w:multiLevelType w:val="hybridMultilevel"/>
    <w:tmpl w:val="A8C86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65D1155"/>
    <w:multiLevelType w:val="hybridMultilevel"/>
    <w:tmpl w:val="52E8DD6C"/>
    <w:lvl w:ilvl="0" w:tplc="04140015">
      <w:start w:val="1"/>
      <w:numFmt w:val="decimal"/>
      <w:lvlText w:val="%1."/>
      <w:lvlJc w:val="left"/>
      <w:pPr>
        <w:tabs>
          <w:tab w:val="num" w:pos="720"/>
        </w:tabs>
        <w:ind w:left="720" w:hanging="360"/>
      </w:pPr>
      <w:rPr>
        <w:rFonts w:cs="Times New Roman"/>
      </w:rPr>
    </w:lvl>
    <w:lvl w:ilvl="1" w:tplc="04140019">
      <w:start w:val="1"/>
      <w:numFmt w:val="lowerLetter"/>
      <w:lvlText w:val="%2."/>
      <w:lvlJc w:val="left"/>
      <w:pPr>
        <w:ind w:left="1440" w:hanging="360"/>
      </w:pPr>
      <w:rPr>
        <w:rFonts w:cs="Times New Roman"/>
      </w:rPr>
    </w:lvl>
    <w:lvl w:ilvl="2" w:tplc="0414001B" w:tentative="1">
      <w:start w:val="1"/>
      <w:numFmt w:val="lowerRoman"/>
      <w:lvlText w:val="%3."/>
      <w:lvlJc w:val="right"/>
      <w:pPr>
        <w:ind w:left="2160" w:hanging="180"/>
      </w:pPr>
      <w:rPr>
        <w:rFonts w:cs="Times New Roman"/>
      </w:rPr>
    </w:lvl>
    <w:lvl w:ilvl="3" w:tplc="0414000F" w:tentative="1">
      <w:start w:val="1"/>
      <w:numFmt w:val="decimal"/>
      <w:lvlText w:val="%4."/>
      <w:lvlJc w:val="left"/>
      <w:pPr>
        <w:ind w:left="2880" w:hanging="360"/>
      </w:pPr>
      <w:rPr>
        <w:rFonts w:cs="Times New Roman"/>
      </w:rPr>
    </w:lvl>
    <w:lvl w:ilvl="4" w:tplc="04140019" w:tentative="1">
      <w:start w:val="1"/>
      <w:numFmt w:val="lowerLetter"/>
      <w:lvlText w:val="%5."/>
      <w:lvlJc w:val="left"/>
      <w:pPr>
        <w:ind w:left="3600" w:hanging="360"/>
      </w:pPr>
      <w:rPr>
        <w:rFonts w:cs="Times New Roman"/>
      </w:rPr>
    </w:lvl>
    <w:lvl w:ilvl="5" w:tplc="0414001B" w:tentative="1">
      <w:start w:val="1"/>
      <w:numFmt w:val="lowerRoman"/>
      <w:lvlText w:val="%6."/>
      <w:lvlJc w:val="right"/>
      <w:pPr>
        <w:ind w:left="4320" w:hanging="180"/>
      </w:pPr>
      <w:rPr>
        <w:rFonts w:cs="Times New Roman"/>
      </w:rPr>
    </w:lvl>
    <w:lvl w:ilvl="6" w:tplc="0414000F" w:tentative="1">
      <w:start w:val="1"/>
      <w:numFmt w:val="decimal"/>
      <w:lvlText w:val="%7."/>
      <w:lvlJc w:val="left"/>
      <w:pPr>
        <w:ind w:left="5040" w:hanging="360"/>
      </w:pPr>
      <w:rPr>
        <w:rFonts w:cs="Times New Roman"/>
      </w:rPr>
    </w:lvl>
    <w:lvl w:ilvl="7" w:tplc="04140019" w:tentative="1">
      <w:start w:val="1"/>
      <w:numFmt w:val="lowerLetter"/>
      <w:lvlText w:val="%8."/>
      <w:lvlJc w:val="left"/>
      <w:pPr>
        <w:ind w:left="5760" w:hanging="360"/>
      </w:pPr>
      <w:rPr>
        <w:rFonts w:cs="Times New Roman"/>
      </w:rPr>
    </w:lvl>
    <w:lvl w:ilvl="8" w:tplc="0414001B" w:tentative="1">
      <w:start w:val="1"/>
      <w:numFmt w:val="lowerRoman"/>
      <w:lvlText w:val="%9."/>
      <w:lvlJc w:val="right"/>
      <w:pPr>
        <w:ind w:left="6480" w:hanging="180"/>
      </w:pPr>
      <w:rPr>
        <w:rFonts w:cs="Times New Roman"/>
      </w:rPr>
    </w:lvl>
  </w:abstractNum>
  <w:num w:numId="1">
    <w:abstractNumId w:val="9"/>
  </w:num>
  <w:num w:numId="2">
    <w:abstractNumId w:val="3"/>
  </w:num>
  <w:num w:numId="3">
    <w:abstractNumId w:val="21"/>
  </w:num>
  <w:num w:numId="4">
    <w:abstractNumId w:val="4"/>
  </w:num>
  <w:num w:numId="5">
    <w:abstractNumId w:val="14"/>
  </w:num>
  <w:num w:numId="6">
    <w:abstractNumId w:val="17"/>
  </w:num>
  <w:num w:numId="7">
    <w:abstractNumId w:val="8"/>
  </w:num>
  <w:num w:numId="8">
    <w:abstractNumId w:val="22"/>
  </w:num>
  <w:num w:numId="9">
    <w:abstractNumId w:val="13"/>
  </w:num>
  <w:num w:numId="10">
    <w:abstractNumId w:val="19"/>
  </w:num>
  <w:num w:numId="11">
    <w:abstractNumId w:val="20"/>
  </w:num>
  <w:num w:numId="12">
    <w:abstractNumId w:val="1"/>
  </w:num>
  <w:num w:numId="13">
    <w:abstractNumId w:val="2"/>
  </w:num>
  <w:num w:numId="14">
    <w:abstractNumId w:val="10"/>
  </w:num>
  <w:num w:numId="15">
    <w:abstractNumId w:val="7"/>
  </w:num>
  <w:num w:numId="16">
    <w:abstractNumId w:val="5"/>
  </w:num>
  <w:num w:numId="17">
    <w:abstractNumId w:val="6"/>
  </w:num>
  <w:num w:numId="18">
    <w:abstractNumId w:val="12"/>
  </w:num>
  <w:num w:numId="19">
    <w:abstractNumId w:val="15"/>
  </w:num>
  <w:num w:numId="20">
    <w:abstractNumId w:val="0"/>
  </w:num>
  <w:num w:numId="21">
    <w:abstractNumId w:val="11"/>
  </w:num>
  <w:num w:numId="22">
    <w:abstractNumId w:val="23"/>
  </w:num>
  <w:num w:numId="23">
    <w:abstractNumId w:val="16"/>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60C0"/>
    <w:rsid w:val="000020AF"/>
    <w:rsid w:val="0002780A"/>
    <w:rsid w:val="0007038D"/>
    <w:rsid w:val="000957F6"/>
    <w:rsid w:val="000A0624"/>
    <w:rsid w:val="000F2DBC"/>
    <w:rsid w:val="0012046D"/>
    <w:rsid w:val="001657AD"/>
    <w:rsid w:val="001A2FB9"/>
    <w:rsid w:val="001A6361"/>
    <w:rsid w:val="001E1292"/>
    <w:rsid w:val="00250F32"/>
    <w:rsid w:val="00254E1C"/>
    <w:rsid w:val="00272B2F"/>
    <w:rsid w:val="00283D5D"/>
    <w:rsid w:val="00283DEE"/>
    <w:rsid w:val="00295A59"/>
    <w:rsid w:val="002A74E0"/>
    <w:rsid w:val="002C63C0"/>
    <w:rsid w:val="002D6504"/>
    <w:rsid w:val="002E4F8B"/>
    <w:rsid w:val="002F1BB3"/>
    <w:rsid w:val="003727A0"/>
    <w:rsid w:val="0039740C"/>
    <w:rsid w:val="003B4544"/>
    <w:rsid w:val="0041608B"/>
    <w:rsid w:val="004444F8"/>
    <w:rsid w:val="00444A9C"/>
    <w:rsid w:val="0044505F"/>
    <w:rsid w:val="00487F2F"/>
    <w:rsid w:val="00494DC1"/>
    <w:rsid w:val="004A31EA"/>
    <w:rsid w:val="004F75A0"/>
    <w:rsid w:val="0053424E"/>
    <w:rsid w:val="00543356"/>
    <w:rsid w:val="005606F2"/>
    <w:rsid w:val="005D4664"/>
    <w:rsid w:val="005F3DAA"/>
    <w:rsid w:val="005F73D1"/>
    <w:rsid w:val="0061659B"/>
    <w:rsid w:val="0064473D"/>
    <w:rsid w:val="00646405"/>
    <w:rsid w:val="00646893"/>
    <w:rsid w:val="00661C29"/>
    <w:rsid w:val="00667E4A"/>
    <w:rsid w:val="00696DCF"/>
    <w:rsid w:val="006A29C9"/>
    <w:rsid w:val="006B72F1"/>
    <w:rsid w:val="006C59B4"/>
    <w:rsid w:val="006D1025"/>
    <w:rsid w:val="006D6D2D"/>
    <w:rsid w:val="006E5E19"/>
    <w:rsid w:val="00730A65"/>
    <w:rsid w:val="007C1C6F"/>
    <w:rsid w:val="007C42BC"/>
    <w:rsid w:val="007E029B"/>
    <w:rsid w:val="007F1920"/>
    <w:rsid w:val="00814211"/>
    <w:rsid w:val="00816AC1"/>
    <w:rsid w:val="00821C34"/>
    <w:rsid w:val="008376AB"/>
    <w:rsid w:val="00861EB5"/>
    <w:rsid w:val="00870258"/>
    <w:rsid w:val="00876C22"/>
    <w:rsid w:val="008C0D81"/>
    <w:rsid w:val="008F3F05"/>
    <w:rsid w:val="008F7A6B"/>
    <w:rsid w:val="00922F2B"/>
    <w:rsid w:val="009949F0"/>
    <w:rsid w:val="009973C7"/>
    <w:rsid w:val="009A2857"/>
    <w:rsid w:val="009B5D4F"/>
    <w:rsid w:val="009C363E"/>
    <w:rsid w:val="009D2660"/>
    <w:rsid w:val="00A04770"/>
    <w:rsid w:val="00A12B56"/>
    <w:rsid w:val="00A359BE"/>
    <w:rsid w:val="00A9044D"/>
    <w:rsid w:val="00AA5F90"/>
    <w:rsid w:val="00AB60C0"/>
    <w:rsid w:val="00AE1118"/>
    <w:rsid w:val="00AE655C"/>
    <w:rsid w:val="00AF46DA"/>
    <w:rsid w:val="00B14165"/>
    <w:rsid w:val="00B22956"/>
    <w:rsid w:val="00B52C06"/>
    <w:rsid w:val="00B54275"/>
    <w:rsid w:val="00B874FF"/>
    <w:rsid w:val="00B87EE8"/>
    <w:rsid w:val="00BD11DE"/>
    <w:rsid w:val="00C10351"/>
    <w:rsid w:val="00C4171C"/>
    <w:rsid w:val="00C444AF"/>
    <w:rsid w:val="00C95BEE"/>
    <w:rsid w:val="00CA7B3A"/>
    <w:rsid w:val="00CB3660"/>
    <w:rsid w:val="00CE3336"/>
    <w:rsid w:val="00D01A72"/>
    <w:rsid w:val="00D06BCB"/>
    <w:rsid w:val="00D107E2"/>
    <w:rsid w:val="00D214AE"/>
    <w:rsid w:val="00D26757"/>
    <w:rsid w:val="00D425A2"/>
    <w:rsid w:val="00D50126"/>
    <w:rsid w:val="00D965F1"/>
    <w:rsid w:val="00DA5D47"/>
    <w:rsid w:val="00DC699D"/>
    <w:rsid w:val="00E24AB5"/>
    <w:rsid w:val="00E74CC3"/>
    <w:rsid w:val="00E83CD8"/>
    <w:rsid w:val="00F112CA"/>
    <w:rsid w:val="00F90CE4"/>
    <w:rsid w:val="00FE3D40"/>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56B89FE"/>
  <w15:docId w15:val="{0409F7C1-DBA4-4C09-8770-00C10B679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60C0"/>
  </w:style>
  <w:style w:type="paragraph" w:styleId="Heading1">
    <w:name w:val="heading 1"/>
    <w:basedOn w:val="Normal"/>
    <w:next w:val="Normal"/>
    <w:link w:val="Heading1Char"/>
    <w:uiPriority w:val="9"/>
    <w:qFormat/>
    <w:rsid w:val="00283DEE"/>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283DEE"/>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8F7A6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B60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AB60C0"/>
    <w:pPr>
      <w:ind w:left="720"/>
      <w:contextualSpacing/>
    </w:pPr>
  </w:style>
  <w:style w:type="paragraph" w:styleId="FootnoteText">
    <w:name w:val="footnote text"/>
    <w:basedOn w:val="Normal"/>
    <w:link w:val="FootnoteTextChar"/>
    <w:semiHidden/>
    <w:unhideWhenUsed/>
    <w:rsid w:val="00250F32"/>
    <w:pPr>
      <w:spacing w:after="0" w:line="240" w:lineRule="auto"/>
    </w:pPr>
    <w:rPr>
      <w:sz w:val="20"/>
      <w:szCs w:val="20"/>
    </w:rPr>
  </w:style>
  <w:style w:type="character" w:customStyle="1" w:styleId="FootnoteTextChar">
    <w:name w:val="Footnote Text Char"/>
    <w:basedOn w:val="DefaultParagraphFont"/>
    <w:link w:val="FootnoteText"/>
    <w:semiHidden/>
    <w:rsid w:val="00250F32"/>
    <w:rPr>
      <w:sz w:val="20"/>
      <w:szCs w:val="20"/>
    </w:rPr>
  </w:style>
  <w:style w:type="character" w:styleId="FootnoteReference">
    <w:name w:val="footnote reference"/>
    <w:basedOn w:val="DefaultParagraphFont"/>
    <w:semiHidden/>
    <w:unhideWhenUsed/>
    <w:rsid w:val="00250F32"/>
    <w:rPr>
      <w:vertAlign w:val="superscript"/>
    </w:rPr>
  </w:style>
  <w:style w:type="character" w:customStyle="1" w:styleId="Heading1Char">
    <w:name w:val="Heading 1 Char"/>
    <w:basedOn w:val="DefaultParagraphFont"/>
    <w:link w:val="Heading1"/>
    <w:uiPriority w:val="9"/>
    <w:rsid w:val="00283DEE"/>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uiPriority w:val="9"/>
    <w:rsid w:val="00283DEE"/>
    <w:rPr>
      <w:rFonts w:asciiTheme="majorHAnsi" w:eastAsiaTheme="majorEastAsia" w:hAnsiTheme="majorHAnsi" w:cstheme="majorBidi"/>
      <w:b/>
      <w:bCs/>
      <w:color w:val="5B9BD5" w:themeColor="accent1"/>
      <w:sz w:val="26"/>
      <w:szCs w:val="26"/>
    </w:rPr>
  </w:style>
  <w:style w:type="paragraph" w:styleId="Caption">
    <w:name w:val="caption"/>
    <w:aliases w:val="Kiwa-Bijschrift,Figur/Tabell-Nr"/>
    <w:basedOn w:val="Normal"/>
    <w:next w:val="Normal"/>
    <w:link w:val="CaptionChar"/>
    <w:qFormat/>
    <w:rsid w:val="002A74E0"/>
    <w:pPr>
      <w:spacing w:before="120" w:after="120" w:line="240" w:lineRule="auto"/>
    </w:pPr>
    <w:rPr>
      <w:rFonts w:ascii="Times" w:eastAsia="Times New Roman" w:hAnsi="Times" w:cs="Times New Roman"/>
      <w:b/>
      <w:sz w:val="24"/>
      <w:szCs w:val="20"/>
      <w:lang w:eastAsia="nb-NO"/>
    </w:rPr>
  </w:style>
  <w:style w:type="character" w:customStyle="1" w:styleId="CaptionChar">
    <w:name w:val="Caption Char"/>
    <w:aliases w:val="Kiwa-Bijschrift Char,Figur/Tabell-Nr Char"/>
    <w:link w:val="Caption"/>
    <w:rsid w:val="002A74E0"/>
    <w:rPr>
      <w:rFonts w:ascii="Times" w:eastAsia="Times New Roman" w:hAnsi="Times" w:cs="Times New Roman"/>
      <w:b/>
      <w:sz w:val="24"/>
      <w:szCs w:val="20"/>
      <w:lang w:eastAsia="nb-NO"/>
    </w:rPr>
  </w:style>
  <w:style w:type="character" w:styleId="IntenseEmphasis">
    <w:name w:val="Intense Emphasis"/>
    <w:basedOn w:val="DefaultParagraphFont"/>
    <w:uiPriority w:val="21"/>
    <w:qFormat/>
    <w:rsid w:val="002A74E0"/>
    <w:rPr>
      <w:b/>
      <w:bCs/>
      <w:i/>
      <w:iCs/>
      <w:color w:val="5B9BD5" w:themeColor="accent1"/>
    </w:rPr>
  </w:style>
  <w:style w:type="paragraph" w:styleId="BalloonText">
    <w:name w:val="Balloon Text"/>
    <w:basedOn w:val="Normal"/>
    <w:link w:val="BalloonTextChar"/>
    <w:uiPriority w:val="99"/>
    <w:semiHidden/>
    <w:unhideWhenUsed/>
    <w:rsid w:val="002A74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74E0"/>
    <w:rPr>
      <w:rFonts w:ascii="Tahoma" w:hAnsi="Tahoma" w:cs="Tahoma"/>
      <w:sz w:val="16"/>
      <w:szCs w:val="16"/>
    </w:rPr>
  </w:style>
  <w:style w:type="character" w:styleId="Hyperlink">
    <w:name w:val="Hyperlink"/>
    <w:basedOn w:val="DefaultParagraphFont"/>
    <w:uiPriority w:val="99"/>
    <w:rsid w:val="007C42BC"/>
    <w:rPr>
      <w:color w:val="0000FF"/>
      <w:u w:val="single"/>
    </w:rPr>
  </w:style>
  <w:style w:type="paragraph" w:styleId="NormalWeb">
    <w:name w:val="Normal (Web)"/>
    <w:basedOn w:val="Normal"/>
    <w:uiPriority w:val="99"/>
    <w:semiHidden/>
    <w:unhideWhenUsed/>
    <w:rsid w:val="004F75A0"/>
    <w:pPr>
      <w:spacing w:before="100" w:beforeAutospacing="1" w:after="100" w:afterAutospacing="1" w:line="240" w:lineRule="auto"/>
    </w:pPr>
    <w:rPr>
      <w:rFonts w:ascii="Times New Roman" w:eastAsiaTheme="minorEastAsia" w:hAnsi="Times New Roman" w:cs="Times New Roman"/>
      <w:sz w:val="24"/>
      <w:szCs w:val="24"/>
      <w:lang w:eastAsia="nb-NO"/>
    </w:rPr>
  </w:style>
  <w:style w:type="paragraph" w:styleId="Header">
    <w:name w:val="header"/>
    <w:basedOn w:val="Normal"/>
    <w:link w:val="HeaderChar"/>
    <w:rsid w:val="00E83CD8"/>
    <w:pPr>
      <w:tabs>
        <w:tab w:val="center" w:pos="4320"/>
        <w:tab w:val="right" w:pos="8640"/>
      </w:tabs>
      <w:spacing w:before="20" w:after="0" w:line="240" w:lineRule="auto"/>
    </w:pPr>
    <w:rPr>
      <w:rFonts w:ascii="Times New Roman" w:eastAsia="Times New Roman" w:hAnsi="Times New Roman" w:cs="Times New Roman"/>
      <w:szCs w:val="24"/>
      <w:lang w:eastAsia="nb-NO"/>
    </w:rPr>
  </w:style>
  <w:style w:type="character" w:customStyle="1" w:styleId="HeaderChar">
    <w:name w:val="Header Char"/>
    <w:basedOn w:val="DefaultParagraphFont"/>
    <w:link w:val="Header"/>
    <w:rsid w:val="00E83CD8"/>
    <w:rPr>
      <w:rFonts w:ascii="Times New Roman" w:eastAsia="Times New Roman" w:hAnsi="Times New Roman" w:cs="Times New Roman"/>
      <w:szCs w:val="24"/>
      <w:lang w:eastAsia="nb-NO"/>
    </w:rPr>
  </w:style>
  <w:style w:type="paragraph" w:customStyle="1" w:styleId="xkaSkjemaTekst">
    <w:name w:val="xkaSkjemaTekst"/>
    <w:basedOn w:val="Normal"/>
    <w:rsid w:val="00E83CD8"/>
    <w:pPr>
      <w:spacing w:after="0" w:line="240" w:lineRule="auto"/>
      <w:ind w:left="57"/>
    </w:pPr>
    <w:rPr>
      <w:rFonts w:ascii="Times" w:eastAsia="Times New Roman" w:hAnsi="Times" w:cs="Times New Roman"/>
      <w:noProof/>
      <w:sz w:val="24"/>
      <w:szCs w:val="20"/>
      <w:lang w:eastAsia="nb-NO"/>
    </w:rPr>
  </w:style>
  <w:style w:type="paragraph" w:styleId="NormalIndent">
    <w:name w:val="Normal Indent"/>
    <w:basedOn w:val="Normal"/>
    <w:qFormat/>
    <w:rsid w:val="001A6361"/>
    <w:pPr>
      <w:tabs>
        <w:tab w:val="left" w:pos="1304"/>
      </w:tabs>
      <w:spacing w:after="120" w:line="276" w:lineRule="auto"/>
      <w:ind w:left="851"/>
    </w:pPr>
    <w:rPr>
      <w:rFonts w:ascii="Arial" w:eastAsia="MS Mincho" w:hAnsi="Arial" w:cs="Times New Roman"/>
      <w:sz w:val="20"/>
      <w:szCs w:val="24"/>
      <w:lang w:eastAsia="ja-JP"/>
    </w:rPr>
  </w:style>
  <w:style w:type="character" w:styleId="FollowedHyperlink">
    <w:name w:val="FollowedHyperlink"/>
    <w:basedOn w:val="DefaultParagraphFont"/>
    <w:uiPriority w:val="99"/>
    <w:semiHidden/>
    <w:unhideWhenUsed/>
    <w:rsid w:val="006D6D2D"/>
    <w:rPr>
      <w:color w:val="954F72" w:themeColor="followedHyperlink"/>
      <w:u w:val="single"/>
    </w:rPr>
  </w:style>
  <w:style w:type="paragraph" w:styleId="TOCHeading">
    <w:name w:val="TOC Heading"/>
    <w:basedOn w:val="Heading1"/>
    <w:next w:val="Normal"/>
    <w:uiPriority w:val="39"/>
    <w:unhideWhenUsed/>
    <w:qFormat/>
    <w:rsid w:val="009973C7"/>
    <w:pPr>
      <w:spacing w:before="240"/>
      <w:outlineLvl w:val="9"/>
    </w:pPr>
    <w:rPr>
      <w:b w:val="0"/>
      <w:bCs w:val="0"/>
      <w:sz w:val="32"/>
      <w:szCs w:val="32"/>
      <w:lang w:val="en-US"/>
    </w:rPr>
  </w:style>
  <w:style w:type="paragraph" w:styleId="TOC1">
    <w:name w:val="toc 1"/>
    <w:basedOn w:val="Normal"/>
    <w:next w:val="Normal"/>
    <w:autoRedefine/>
    <w:uiPriority w:val="39"/>
    <w:unhideWhenUsed/>
    <w:rsid w:val="009973C7"/>
    <w:pPr>
      <w:spacing w:after="100"/>
    </w:pPr>
  </w:style>
  <w:style w:type="paragraph" w:styleId="TOC2">
    <w:name w:val="toc 2"/>
    <w:basedOn w:val="Normal"/>
    <w:next w:val="Normal"/>
    <w:autoRedefine/>
    <w:uiPriority w:val="39"/>
    <w:unhideWhenUsed/>
    <w:rsid w:val="009973C7"/>
    <w:pPr>
      <w:spacing w:after="100"/>
      <w:ind w:left="220"/>
    </w:pPr>
  </w:style>
  <w:style w:type="paragraph" w:styleId="NoSpacing">
    <w:name w:val="No Spacing"/>
    <w:uiPriority w:val="1"/>
    <w:qFormat/>
    <w:rsid w:val="001657AD"/>
    <w:pPr>
      <w:spacing w:after="0" w:line="240" w:lineRule="auto"/>
    </w:pPr>
  </w:style>
  <w:style w:type="character" w:customStyle="1" w:styleId="Heading3Char">
    <w:name w:val="Heading 3 Char"/>
    <w:basedOn w:val="DefaultParagraphFont"/>
    <w:link w:val="Heading3"/>
    <w:uiPriority w:val="9"/>
    <w:rsid w:val="008F7A6B"/>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D01A7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oleObject" Target="embeddings/Microsoft_Visio_2003-2010_Drawing1.vsd"/><Relationship Id="rId14" Type="http://schemas.openxmlformats.org/officeDocument/2006/relationships/hyperlink" Target="http://wcsp.eu/WCSP/WCSP_Framework.html"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www.norskvann.no/kompetanse/va-bokhandelen/rapporter/product/433-r188-veiledning-for-drift-av-koaguleringsanlegg" TargetMode="External"/><Relationship Id="rId7" Type="http://schemas.openxmlformats.org/officeDocument/2006/relationships/hyperlink" Target="https://www.regjeringen.no/no/dokumenter/nou-2015-13/id2464370/" TargetMode="External"/><Relationship Id="rId2" Type="http://schemas.openxmlformats.org/officeDocument/2006/relationships/hyperlink" Target="http://www.energibesparelser-vand.dk/DDS%20-%20Drikkevandssikkerhed-412.aspx" TargetMode="External"/><Relationship Id="rId1" Type="http://schemas.openxmlformats.org/officeDocument/2006/relationships/hyperlink" Target="http://www.mattilsynet.no/mat_og_vann/vann/vannverk/veiledning_i_beredskapsplanlegging_for_vannverk.1894/BINARY/Veiledning%20i%20beredskapsplanlegging%20for%20vannverk" TargetMode="External"/><Relationship Id="rId6" Type="http://schemas.openxmlformats.org/officeDocument/2006/relationships/hyperlink" Target="http://norskvann.no/index.php?option=com_hikashop&amp;ctrl=product&amp;task=show&amp;cid=418&amp;name=r195-veiledning-for-sikkerhet-av-driftskontrollsystemer-for-va-systemer&amp;Itemid=1011&amp;category_pathway" TargetMode="External"/><Relationship Id="rId5" Type="http://schemas.openxmlformats.org/officeDocument/2006/relationships/hyperlink" Target="http://www.mattilsynet.no/mattilsynet/multimedia/archive/00065/Veileder_til_forskri_65830a.pdf" TargetMode="External"/><Relationship Id="rId4" Type="http://schemas.openxmlformats.org/officeDocument/2006/relationships/hyperlink" Target="http://www.norskvann.no/kompetanse/va-bokhandelen/rapporter/product/168-r164-veiledning-for-uv-desinfeksjon-av-drikkevan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4DC597-5F24-4B3E-BF70-4EB6214FFF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3960</Words>
  <Characters>22572</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SINTEF</Company>
  <LinksUpToDate>false</LinksUpToDate>
  <CharactersWithSpaces>26480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Amundsen Camilla</dc:creator>
  <cp:lastModifiedBy>Jon Røstum</cp:lastModifiedBy>
  <cp:revision>2</cp:revision>
  <dcterms:created xsi:type="dcterms:W3CDTF">2016-09-01T05:16:00Z</dcterms:created>
  <dcterms:modified xsi:type="dcterms:W3CDTF">2016-09-01T05:16:00Z</dcterms:modified>
</cp:coreProperties>
</file>