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Look w:val="0480" w:firstRow="0" w:lastRow="0" w:firstColumn="1" w:lastColumn="0" w:noHBand="0" w:noVBand="1"/>
      </w:tblPr>
      <w:tblGrid>
        <w:gridCol w:w="3227"/>
        <w:gridCol w:w="5985"/>
      </w:tblGrid>
      <w:tr w:rsidR="00FB5C5F" w:rsidTr="00720A8E">
        <w:tc>
          <w:tcPr>
            <w:tcW w:w="9212" w:type="dxa"/>
            <w:gridSpan w:val="2"/>
          </w:tcPr>
          <w:p w:rsidR="00137E70" w:rsidRPr="0054676E" w:rsidRDefault="0054676E" w:rsidP="0054676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Klageadgang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</w:t>
            </w:r>
            <w:r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innsynsrett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og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rett til å 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få veiledning av kommunen</w:t>
            </w: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E70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Klagerett:</w:t>
            </w:r>
          </w:p>
          <w:p w:rsidR="00FB5C5F" w:rsidRPr="0054676E" w:rsidRDefault="0054676E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orvalt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ingsloven (</w:t>
            </w:r>
            <w:proofErr w:type="spellStart"/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) § 28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avgjørelsen retter seg mot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 over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vedtaket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tillegg kan andre personer som saken direkte gjelder eller som har rettslig klageinteresse klage over vedtaket.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Hvem kan det klages til:</w:t>
            </w:r>
          </w:p>
          <w:p w:rsidR="00FB5C5F" w:rsidRPr="00137E70" w:rsidRDefault="0054676E" w:rsidP="0013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orurensningsloven 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forurl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6761D3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§ 85 annet ledd, jf. </w:t>
            </w:r>
            <w:proofErr w:type="spellStart"/>
            <w:r w:rsidR="00FB5C5F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="00FB5C5F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28)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Klagen rettes til overordnet forvaltningsorgan som er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kommunens klagenemd – </w:t>
            </w:r>
            <w:proofErr w:type="spellStart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orur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. § 85 jf. </w:t>
            </w:r>
            <w:proofErr w:type="spellStart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fvl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. § 28]</w:t>
            </w:r>
          </w:p>
          <w:p w:rsid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Klagen sendes til: 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kommune, Postboks 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37E70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02E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Klagefrist: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29, 30 og 31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Klagefristen er tre uker fra den dag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underre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tningen om vedtaket kom frem til deg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Klagen må være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postlagt innen fristens utløp.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lage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r som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kommer inn etter fristens utløp, bli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avvist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, hvis det ikke foreligger særlige grunner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. D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u må derfor opplyse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om årsaken til forsinkelsen. 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Rett til å kreve begrunnelse: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24 og 25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mener at vedtaket ikke er begrunnet, kan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innen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utløp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av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klagefristen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kreve begrunnelse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slike tilfeller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blir klagefristen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avbrutt og ny frist begynner å løpe fra den dag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begrunnelsen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kommer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frem til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Klagens innhold: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32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nevne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vedtaket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klage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over og hva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ønske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endret. </w:t>
            </w:r>
            <w:r w:rsidR="00137E70">
              <w:rPr>
                <w:rFonts w:ascii="Times New Roman" w:hAnsi="Times New Roman" w:cs="Times New Roman"/>
                <w:sz w:val="24"/>
                <w:szCs w:val="24"/>
              </w:rPr>
              <w:t>Klagen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må begrunnes og for øvrig vise til de momenter som kan være relev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ante for bedømmelsen av saken. Du eller din fullmektig må undertegne k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lagen.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Utsetting av gjennomføring av vedtaket: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31 og 42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Selv om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har klagerett, kan vedtaket vanligvis gjennomføres straks. Det er imidlertid adgang til å søke om å få utsatt iverksettingen av vedtaket, inntil klagefristen er ute eller klagen er avgjort. </w:t>
            </w:r>
            <w:r w:rsidR="0036282B">
              <w:rPr>
                <w:rFonts w:ascii="Times New Roman" w:hAnsi="Times New Roman" w:cs="Times New Roman"/>
                <w:sz w:val="24"/>
                <w:szCs w:val="24"/>
              </w:rPr>
              <w:t>Kommunens klagenemd</w:t>
            </w:r>
            <w:bookmarkStart w:id="0" w:name="_GoBack"/>
            <w:bookmarkEnd w:id="0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kan på selvstendig grunnlag ta stilling til begjæring om utsettende virkning.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Kostnader ved klagen: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36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61202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Du kan søke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om å få dekket utgifter til nødvendig advokathjelp. Her gjelder imidlertid visse inntekts- og formuesgrenser. Fylkesmannens kontor eller advokat kan gi nærmere veilednin</w:t>
            </w:r>
            <w:r w:rsidR="00447492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g. Det er også adgang til 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å </w:t>
            </w:r>
            <w:r w:rsidR="00447492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kreve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dekning for vesentlige kostnader i forbindelse med klagesaken, f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FB5C5F" w:rsidRPr="00137E70" w:rsidRDefault="0061202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>ksempel</w:t>
            </w:r>
            <w:proofErr w:type="gramEnd"/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advokatbistand. Dette forutsetter vanligvis at underinstansen har gjort en saksbehandlingsfeil som fører til endring av vedtaket.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Klageinstansen vil kunne orientere om retten til å kreve slik dekning.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54676E" w:rsidTr="0054676E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76E" w:rsidRPr="00137E70" w:rsidRDefault="0054676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Rett til å 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kreve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veiledning:</w:t>
            </w:r>
          </w:p>
          <w:p w:rsidR="0054676E" w:rsidRPr="0054676E" w:rsidRDefault="0054676E" w:rsidP="005467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11 </w:t>
            </w:r>
          </w:p>
        </w:tc>
        <w:tc>
          <w:tcPr>
            <w:tcW w:w="5985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Kommunen har en alminnelig veiledningsplikt, slik at parter og andre interesserte skal kunne ivareta sine interesser i saken på best mulig måte. Omfanget av veiledningen må tilpasses kommunens situasjon og kapasitet.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6E" w:rsidTr="0054676E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Rett til å se sakens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dokumenter:</w:t>
            </w:r>
          </w:p>
          <w:p w:rsidR="0054676E" w:rsidRPr="0054676E" w:rsidRDefault="0054676E" w:rsidP="005467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§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18-19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artene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 normalt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rett til å se dokumentene i saken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76E" w:rsidRPr="00137E70" w:rsidRDefault="0054676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D92" w:rsidRDefault="00581D92"/>
    <w:sectPr w:rsidR="0058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5F"/>
    <w:rsid w:val="00137E70"/>
    <w:rsid w:val="00245666"/>
    <w:rsid w:val="0036282B"/>
    <w:rsid w:val="00447492"/>
    <w:rsid w:val="0054676E"/>
    <w:rsid w:val="00581D92"/>
    <w:rsid w:val="0061202E"/>
    <w:rsid w:val="006761D3"/>
    <w:rsid w:val="006C5A56"/>
    <w:rsid w:val="00DF174A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3B9FA-E271-45E4-80A8-D99CF997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Riise</dc:creator>
  <cp:lastModifiedBy>Elin Riise</cp:lastModifiedBy>
  <cp:revision>2</cp:revision>
  <dcterms:created xsi:type="dcterms:W3CDTF">2015-09-10T13:02:00Z</dcterms:created>
  <dcterms:modified xsi:type="dcterms:W3CDTF">2015-09-10T13:02:00Z</dcterms:modified>
</cp:coreProperties>
</file>