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B6" w:rsidRPr="003224B2" w:rsidRDefault="003224B2" w:rsidP="003224B2">
      <w:pPr>
        <w:spacing w:before="100" w:beforeAutospacing="1" w:after="100" w:afterAutospacing="1"/>
        <w:rPr>
          <w:rFonts w:ascii="Times New Roman" w:eastAsia="Times New Roman" w:hAnsi="Times New Roman" w:cs="Times New Roman"/>
          <w:b/>
          <w:bCs/>
          <w:sz w:val="28"/>
          <w:szCs w:val="28"/>
        </w:rPr>
      </w:pPr>
      <w:bookmarkStart w:id="0" w:name="_GoBack"/>
      <w:bookmarkEnd w:id="0"/>
      <w:r w:rsidRPr="003224B2">
        <w:rPr>
          <w:rFonts w:ascii="Times New Roman" w:eastAsia="Times New Roman" w:hAnsi="Times New Roman" w:cs="Times New Roman"/>
          <w:b/>
          <w:bCs/>
          <w:sz w:val="28"/>
          <w:szCs w:val="28"/>
        </w:rPr>
        <w:t xml:space="preserve">Forurensningsloven </w:t>
      </w:r>
    </w:p>
    <w:p w:rsidR="003224B2" w:rsidRPr="009F27D2" w:rsidRDefault="003224B2" w:rsidP="009F27D2">
      <w:pPr>
        <w:spacing w:before="100" w:beforeAutospacing="1" w:after="100" w:afterAutospacing="1"/>
        <w:rPr>
          <w:rFonts w:ascii="Times New Roman" w:eastAsia="Times New Roman" w:hAnsi="Times New Roman" w:cs="Times New Roman"/>
          <w:b/>
          <w:bCs/>
        </w:rPr>
      </w:pPr>
      <w:r w:rsidRPr="009F27D2">
        <w:rPr>
          <w:rFonts w:ascii="Times New Roman" w:eastAsia="Times New Roman" w:hAnsi="Times New Roman" w:cs="Times New Roman"/>
          <w:b/>
          <w:bCs/>
        </w:rPr>
        <w:t>§ 7. (plikt til å unngå forurensning)</w:t>
      </w:r>
    </w:p>
    <w:p w:rsidR="003224B2" w:rsidRPr="009F27D2" w:rsidRDefault="003224B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Ingen må ha, gjøre eller sette i verk noe som kan medføre fare for forurensning uten at det er lovlig etter §§ 8 eller 9, eller tillatt etter vedtak i medhold av § 11.</w:t>
      </w:r>
    </w:p>
    <w:p w:rsidR="003224B2" w:rsidRPr="009F27D2" w:rsidRDefault="003224B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Når det er fare for forurensning i strid med loven, eller vedtak i medhold av loven skal den ansvarlige for forurensning sørge for tiltak for å hindre at den inntrer. Har forurensningen inntrådt skal han sørge for tiltak for å stanse, fjerne eller begrense virkningen av den. Den ansvarlige plikter også å treffe tiltak for å avbøte skader og ulemper som følge av forurensningen eller av tiltakene for å motvirke den. Plikten etter dette ledd gjelder tiltak som står i et rimelig forhold til de skader og ulemper som skal unngås.</w:t>
      </w:r>
    </w:p>
    <w:p w:rsidR="003224B2" w:rsidRPr="009F27D2" w:rsidRDefault="003224B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Bestemmelsen i annet ledd gjelder også forurensning som er tillatt etter § 11 dersom det er åpenbart at vedtaket kan omgjøres etter § 18 første ledd nummer 1 eller 2. Tilsvarende gjelder dersom det av samme grunner er åpenbart at det etter § 9 tredje ledd kan gjøres unntak fra forskrift som tillater forurensning.</w:t>
      </w:r>
    </w:p>
    <w:p w:rsidR="003224B2" w:rsidRDefault="003224B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Forurensningsmyndigheten kan pålegge den ansvarlige å treffe tiltak etter annet ledd første til tredje punktum innen en nærmere angitt frist.</w:t>
      </w:r>
    </w:p>
    <w:p w:rsidR="009F27D2" w:rsidRPr="009F27D2" w:rsidRDefault="009F27D2" w:rsidP="009F27D2">
      <w:pPr>
        <w:spacing w:before="100" w:beforeAutospacing="1" w:after="100" w:afterAutospacing="1"/>
        <w:rPr>
          <w:rFonts w:ascii="Times New Roman" w:eastAsia="Times New Roman" w:hAnsi="Times New Roman" w:cs="Times New Roman"/>
        </w:rPr>
      </w:pPr>
    </w:p>
    <w:p w:rsidR="009F27D2" w:rsidRPr="009F27D2" w:rsidRDefault="009F27D2" w:rsidP="009F27D2">
      <w:pPr>
        <w:spacing w:before="100" w:beforeAutospacing="1" w:after="100" w:afterAutospacing="1"/>
        <w:rPr>
          <w:rFonts w:ascii="Times New Roman" w:eastAsia="Times New Roman" w:hAnsi="Times New Roman" w:cs="Times New Roman"/>
          <w:b/>
          <w:bCs/>
        </w:rPr>
      </w:pPr>
      <w:r w:rsidRPr="009F27D2">
        <w:rPr>
          <w:rFonts w:ascii="Times New Roman" w:eastAsia="Times New Roman" w:hAnsi="Times New Roman" w:cs="Times New Roman"/>
          <w:b/>
          <w:bCs/>
        </w:rPr>
        <w:t>§ 18.(endring og omgjøring av tillatelse)</w:t>
      </w:r>
    </w:p>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Forurensningsmyndigheten kan oppheve eller endre vilkårene i tillatelse etter loven her eller etter forskrift i medhold av loven, eller sette nye vilkår, og om nødvendig kalle tillatelsen tilbake dersom</w:t>
      </w:r>
    </w:p>
    <w:tbl>
      <w:tblPr>
        <w:tblW w:w="0" w:type="auto"/>
        <w:tblBorders>
          <w:top w:val="nil"/>
          <w:left w:val="nil"/>
          <w:right w:val="nil"/>
        </w:tblBorders>
        <w:tblLayout w:type="fixed"/>
        <w:tblLook w:val="0000" w:firstRow="0" w:lastRow="0" w:firstColumn="0" w:lastColumn="0" w:noHBand="0" w:noVBand="0"/>
      </w:tblPr>
      <w:tblGrid>
        <w:gridCol w:w="880"/>
        <w:gridCol w:w="17000"/>
      </w:tblGrid>
      <w:tr w:rsidR="009F27D2" w:rsidRPr="009F27D2">
        <w:tc>
          <w:tcPr>
            <w:tcW w:w="88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1)</w:t>
            </w:r>
          </w:p>
        </w:tc>
        <w:tc>
          <w:tcPr>
            <w:tcW w:w="1700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det viser seg at skaden eller ulempen ved forurensningen blir vesentlig større eller annerledes enn ventet da tillatelse ble gitt,</w:t>
            </w:r>
          </w:p>
        </w:tc>
      </w:tr>
      <w:tr w:rsidR="009F27D2" w:rsidRPr="009F27D2">
        <w:tc>
          <w:tcPr>
            <w:tcW w:w="88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2)</w:t>
            </w:r>
          </w:p>
        </w:tc>
        <w:tc>
          <w:tcPr>
            <w:tcW w:w="1700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skaden eller ulempen kan reduseres uten urimelig kostnad for forurenseren,</w:t>
            </w:r>
          </w:p>
        </w:tc>
      </w:tr>
      <w:tr w:rsidR="009F27D2" w:rsidRPr="009F27D2">
        <w:tc>
          <w:tcPr>
            <w:tcW w:w="88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3)</w:t>
            </w:r>
          </w:p>
        </w:tc>
        <w:tc>
          <w:tcPr>
            <w:tcW w:w="1700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ny teknologi gjør det mulig å minske forurensningene i vesentlig grad,</w:t>
            </w:r>
          </w:p>
        </w:tc>
      </w:tr>
      <w:tr w:rsidR="009F27D2" w:rsidRPr="009F27D2">
        <w:tc>
          <w:tcPr>
            <w:tcW w:w="88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lastRenderedPageBreak/>
              <w:t>4)</w:t>
            </w:r>
          </w:p>
        </w:tc>
        <w:tc>
          <w:tcPr>
            <w:tcW w:w="1700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vilkårene i tillatelsen er unødvendige for å motvirke forurensninger,</w:t>
            </w:r>
          </w:p>
        </w:tc>
      </w:tr>
      <w:tr w:rsidR="009F27D2" w:rsidRPr="009F27D2">
        <w:tc>
          <w:tcPr>
            <w:tcW w:w="88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5)</w:t>
            </w:r>
          </w:p>
        </w:tc>
        <w:tc>
          <w:tcPr>
            <w:tcW w:w="1700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de fordeler forurenseren eller andre får av at vilkår blir lempet på eller opphevet, er vesentlig større enn de skader eller ulemper det vil føre til for miljøet, eller</w:t>
            </w:r>
          </w:p>
        </w:tc>
      </w:tr>
      <w:tr w:rsidR="009F27D2" w:rsidRPr="009F27D2">
        <w:tc>
          <w:tcPr>
            <w:tcW w:w="88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6)</w:t>
            </w:r>
          </w:p>
        </w:tc>
        <w:tc>
          <w:tcPr>
            <w:tcW w:w="17000" w:type="dxa"/>
            <w:tcMar>
              <w:top w:w="20" w:type="nil"/>
              <w:left w:w="20" w:type="nil"/>
              <w:bottom w:w="20" w:type="nil"/>
              <w:right w:w="20" w:type="nil"/>
            </w:tcMar>
          </w:tcPr>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det forøvrig følger av ellers gjeldende omgjøringsregler.</w:t>
            </w:r>
          </w:p>
        </w:tc>
      </w:tr>
    </w:tbl>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Tillatelse gitt i medhold av § 11 annet ledd tilbakekalles eller endres dersom kvoteplikten etter klimakvoteloven § 4 opphører.</w:t>
      </w:r>
    </w:p>
    <w:p w:rsidR="009F27D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Tillatelse kan i alle tilfeller tilbakekalles eller endres når det har gått 10 år etter at den ble gitt.</w:t>
      </w:r>
    </w:p>
    <w:p w:rsidR="003224B2" w:rsidRPr="009F27D2" w:rsidRDefault="009F27D2" w:rsidP="009F27D2">
      <w:pPr>
        <w:spacing w:before="100" w:beforeAutospacing="1" w:after="100" w:afterAutospacing="1"/>
        <w:rPr>
          <w:rFonts w:ascii="Times New Roman" w:eastAsia="Times New Roman" w:hAnsi="Times New Roman" w:cs="Times New Roman"/>
        </w:rPr>
      </w:pPr>
      <w:r w:rsidRPr="009F27D2">
        <w:rPr>
          <w:rFonts w:ascii="Times New Roman" w:eastAsia="Times New Roman" w:hAnsi="Times New Roman" w:cs="Times New Roman"/>
        </w:rPr>
        <w:t>Ved avgjørelser etter første og tredje ledd skal det tas hensyn til kostnadene en endring eller omgjøring vil påføre forurenseren og de fordeler og ulemper endring eller omgjøring for øvrig vil medføre.</w:t>
      </w:r>
    </w:p>
    <w:p w:rsidR="003224B2" w:rsidRDefault="003224B2"/>
    <w:p w:rsidR="003224B2" w:rsidRPr="00331ABB" w:rsidRDefault="003224B2" w:rsidP="003224B2">
      <w:pPr>
        <w:spacing w:before="100" w:beforeAutospacing="1" w:after="100" w:afterAutospacing="1"/>
        <w:rPr>
          <w:rFonts w:ascii="Times New Roman" w:eastAsia="Times New Roman" w:hAnsi="Times New Roman" w:cs="Times New Roman"/>
        </w:rPr>
      </w:pPr>
      <w:r w:rsidRPr="00331ABB">
        <w:rPr>
          <w:rFonts w:ascii="Times New Roman" w:eastAsia="Times New Roman" w:hAnsi="Times New Roman" w:cs="Times New Roman"/>
          <w:b/>
          <w:bCs/>
        </w:rPr>
        <w:t>§ 73.</w:t>
      </w:r>
      <w:r w:rsidRPr="00331ABB">
        <w:rPr>
          <w:rFonts w:ascii="Times New Roman" w:eastAsia="Times New Roman" w:hAnsi="Times New Roman" w:cs="Times New Roman"/>
        </w:rPr>
        <w:t xml:space="preserve"> </w:t>
      </w:r>
      <w:r w:rsidRPr="00331ABB">
        <w:rPr>
          <w:rFonts w:ascii="Times New Roman" w:eastAsia="Times New Roman" w:hAnsi="Times New Roman" w:cs="Times New Roman"/>
          <w:i/>
          <w:iCs/>
        </w:rPr>
        <w:t>(tvangsmulkt ved forhold i strid med loven)</w:t>
      </w:r>
      <w:r w:rsidRPr="00331ABB">
        <w:rPr>
          <w:rFonts w:ascii="Times New Roman" w:eastAsia="Times New Roman" w:hAnsi="Times New Roman" w:cs="Times New Roman"/>
        </w:rPr>
        <w:t xml:space="preserve"> </w:t>
      </w:r>
    </w:p>
    <w:p w:rsidR="003224B2" w:rsidRPr="00331ABB" w:rsidRDefault="003224B2" w:rsidP="003224B2">
      <w:pPr>
        <w:spacing w:before="100" w:beforeAutospacing="1" w:after="100" w:afterAutospacing="1"/>
        <w:rPr>
          <w:rFonts w:ascii="Times New Roman" w:eastAsia="Times New Roman" w:hAnsi="Times New Roman" w:cs="Times New Roman"/>
        </w:rPr>
      </w:pPr>
      <w:r w:rsidRPr="00331ABB">
        <w:rPr>
          <w:rFonts w:ascii="Times New Roman" w:eastAsia="Times New Roman" w:hAnsi="Times New Roman" w:cs="Times New Roman"/>
        </w:rPr>
        <w:t xml:space="preserve">       For å sikre at bestemmelsene i denne lov eller vedtak i medhold av loven blir gjennomført, kan forurensningsmyndigheten fatte vedtak om tvangsmulkt til staten. </w:t>
      </w:r>
    </w:p>
    <w:p w:rsidR="003224B2" w:rsidRPr="00331ABB" w:rsidRDefault="003224B2" w:rsidP="003224B2">
      <w:pPr>
        <w:spacing w:before="100" w:beforeAutospacing="1" w:after="100" w:afterAutospacing="1"/>
        <w:rPr>
          <w:rFonts w:ascii="Times New Roman" w:eastAsia="Times New Roman" w:hAnsi="Times New Roman" w:cs="Times New Roman"/>
        </w:rPr>
      </w:pPr>
      <w:r w:rsidRPr="00331ABB">
        <w:rPr>
          <w:rFonts w:ascii="Times New Roman" w:eastAsia="Times New Roman" w:hAnsi="Times New Roman" w:cs="Times New Roman"/>
        </w:rPr>
        <w:t xml:space="preserve">       Tvangsmulkt kan fastsettes når overtredelse av loven eller vedtak i medhold av loven er oppdaget. Tvangsmulkten begynner å løpe dersom den ansvarlige oversitter den frist for retting av forholdet som forurensningsmyndigheten har fastsatt. Tvangsmulkt kan også fastsettes på forhånd og løper da fra eventuell overtredelse tar til. Det kan fastsettes at tvangsmulkten løper så lenge det ulovlige forhold varer, eller at det forfaller for hver overtredelse. Tvangsmulkt fastsettes som løpende mulkt eller engangsmulkt. Det kan fastsettes at tvangsmulkten løper så lenge det ulovlige forholdet varer, eller at det forfaller for hver overtredelse. </w:t>
      </w:r>
    </w:p>
    <w:p w:rsidR="003224B2" w:rsidRPr="00331ABB" w:rsidRDefault="003224B2" w:rsidP="003224B2">
      <w:pPr>
        <w:spacing w:before="100" w:beforeAutospacing="1" w:after="100" w:afterAutospacing="1"/>
        <w:rPr>
          <w:rFonts w:ascii="Times New Roman" w:eastAsia="Times New Roman" w:hAnsi="Times New Roman" w:cs="Times New Roman"/>
        </w:rPr>
      </w:pPr>
      <w:r w:rsidRPr="00331ABB">
        <w:rPr>
          <w:rFonts w:ascii="Times New Roman" w:eastAsia="Times New Roman" w:hAnsi="Times New Roman" w:cs="Times New Roman"/>
        </w:rPr>
        <w:t xml:space="preserve">       Tvangsmulkt ilegges den ansvarlige for overtredelsen. Er overtredelsen skjedd på vegne av et selskap eller en annen sammenslutning, en stiftelse, en kommune, fylkeskommune eller annen offentlig innretning, skal tvangsmulkten vanligvis pålegges virksomheten som sådan. Er overtredelsen skjedd på vegne av en beredskapsorganisasjon opprettet etter § 42, kan tvangsmulkten pålegges de deltagende selskaper. </w:t>
      </w:r>
    </w:p>
    <w:p w:rsidR="003224B2" w:rsidRDefault="003224B2" w:rsidP="003224B2">
      <w:pPr>
        <w:spacing w:before="100" w:beforeAutospacing="1" w:after="100" w:afterAutospacing="1"/>
        <w:rPr>
          <w:rFonts w:ascii="Times New Roman" w:eastAsia="Times New Roman" w:hAnsi="Times New Roman" w:cs="Times New Roman"/>
        </w:rPr>
      </w:pPr>
      <w:r w:rsidRPr="00331ABB">
        <w:rPr>
          <w:rFonts w:ascii="Times New Roman" w:eastAsia="Times New Roman" w:hAnsi="Times New Roman" w:cs="Times New Roman"/>
        </w:rPr>
        <w:lastRenderedPageBreak/>
        <w:t xml:space="preserve">       Vedtak om tvangsmulkt er tvangsgrunnlag for utlegg. Forurensningsmyndigheten kan frafalle påløpt tvangsmulkt. </w:t>
      </w:r>
    </w:p>
    <w:p w:rsidR="003224B2" w:rsidRDefault="003224B2" w:rsidP="003224B2">
      <w:pPr>
        <w:spacing w:before="100" w:beforeAutospacing="1" w:after="100" w:afterAutospacing="1"/>
        <w:rPr>
          <w:rFonts w:ascii="Times New Roman" w:eastAsia="Times New Roman" w:hAnsi="Times New Roman" w:cs="Times New Roman"/>
        </w:rPr>
      </w:pPr>
    </w:p>
    <w:p w:rsidR="003224B2" w:rsidRPr="003224B2" w:rsidRDefault="003224B2" w:rsidP="003224B2">
      <w:pPr>
        <w:spacing w:before="100" w:beforeAutospacing="1" w:after="100" w:afterAutospacing="1"/>
        <w:rPr>
          <w:rFonts w:ascii="Times New Roman" w:eastAsia="Times New Roman" w:hAnsi="Times New Roman" w:cs="Times New Roman"/>
          <w:b/>
          <w:bCs/>
          <w:sz w:val="28"/>
          <w:szCs w:val="28"/>
        </w:rPr>
      </w:pPr>
      <w:r w:rsidRPr="003224B2">
        <w:rPr>
          <w:rFonts w:ascii="Times New Roman" w:eastAsia="Times New Roman" w:hAnsi="Times New Roman" w:cs="Times New Roman"/>
          <w:b/>
          <w:bCs/>
          <w:sz w:val="28"/>
          <w:szCs w:val="28"/>
        </w:rPr>
        <w:t>Forurensningsforskriften</w:t>
      </w:r>
    </w:p>
    <w:p w:rsidR="003224B2" w:rsidRPr="003224B2" w:rsidRDefault="003224B2" w:rsidP="003224B2">
      <w:pPr>
        <w:spacing w:before="100" w:beforeAutospacing="1" w:after="100" w:afterAutospacing="1"/>
        <w:rPr>
          <w:rFonts w:ascii="Times New Roman" w:eastAsia="Times New Roman" w:hAnsi="Times New Roman" w:cs="Times New Roman"/>
          <w:b/>
          <w:bCs/>
        </w:rPr>
      </w:pPr>
      <w:r w:rsidRPr="003224B2">
        <w:rPr>
          <w:rFonts w:ascii="Times New Roman" w:eastAsia="Times New Roman" w:hAnsi="Times New Roman" w:cs="Times New Roman"/>
          <w:b/>
          <w:bCs/>
        </w:rPr>
        <w:t xml:space="preserve">§ 12-16. </w:t>
      </w:r>
      <w:r w:rsidRPr="003224B2">
        <w:rPr>
          <w:rFonts w:ascii="Times New Roman" w:eastAsia="Times New Roman" w:hAnsi="Times New Roman" w:cs="Times New Roman"/>
          <w:bCs/>
        </w:rPr>
        <w:t>Forholdet til eksisterende utslipp</w:t>
      </w:r>
    </w:p>
    <w:p w:rsidR="003224B2" w:rsidRPr="003224B2" w:rsidRDefault="003224B2" w:rsidP="003224B2">
      <w:pPr>
        <w:spacing w:before="100" w:beforeAutospacing="1" w:after="100" w:afterAutospacing="1"/>
        <w:rPr>
          <w:rFonts w:ascii="Times New Roman" w:eastAsia="Times New Roman" w:hAnsi="Times New Roman" w:cs="Times New Roman"/>
          <w:bCs/>
        </w:rPr>
      </w:pPr>
      <w:r w:rsidRPr="003224B2">
        <w:rPr>
          <w:rFonts w:ascii="Times New Roman" w:eastAsia="Times New Roman" w:hAnsi="Times New Roman" w:cs="Times New Roman"/>
          <w:bCs/>
        </w:rPr>
        <w:t>Tillatelser til utslipp av sanitært avløpsvann gitt i medhold av forurensningsloven og tilhørende forskrifter før 1. januar 2007 er fortsatt gjeldende.</w:t>
      </w:r>
    </w:p>
    <w:p w:rsidR="003224B2" w:rsidRPr="003224B2" w:rsidRDefault="003224B2" w:rsidP="003224B2">
      <w:pPr>
        <w:spacing w:before="100" w:beforeAutospacing="1" w:after="100" w:afterAutospacing="1"/>
        <w:rPr>
          <w:rFonts w:ascii="Times New Roman" w:eastAsia="Times New Roman" w:hAnsi="Times New Roman" w:cs="Times New Roman"/>
          <w:bCs/>
        </w:rPr>
      </w:pPr>
      <w:r w:rsidRPr="003224B2">
        <w:rPr>
          <w:rFonts w:ascii="Times New Roman" w:eastAsia="Times New Roman" w:hAnsi="Times New Roman" w:cs="Times New Roman"/>
          <w:bCs/>
        </w:rPr>
        <w:t>Utslipp etablert før 1. januar 2007 og som det på tidspunkt for etablering ikke måtte innhentes tillatelse for etter det på den tid gjeldende regelverk, er fortsatt lovlige. Kommunen kan likevel i forskrift eller enkeltvedtak bestemme at slike utslipp er ulovlige etter en fastsatt frist.</w:t>
      </w:r>
    </w:p>
    <w:p w:rsidR="003224B2" w:rsidRDefault="003224B2" w:rsidP="003224B2">
      <w:pPr>
        <w:spacing w:before="100" w:beforeAutospacing="1" w:after="100" w:afterAutospacing="1"/>
        <w:rPr>
          <w:rFonts w:ascii="Times New Roman" w:eastAsia="Times New Roman" w:hAnsi="Times New Roman" w:cs="Times New Roman"/>
        </w:rPr>
      </w:pPr>
    </w:p>
    <w:p w:rsidR="003224B2" w:rsidRPr="009902FD" w:rsidRDefault="003224B2" w:rsidP="003224B2">
      <w:pPr>
        <w:spacing w:before="100" w:beforeAutospacing="1" w:after="100" w:afterAutospacing="1"/>
        <w:rPr>
          <w:rFonts w:ascii="Times New Roman" w:eastAsia="Times New Roman" w:hAnsi="Times New Roman" w:cs="Times New Roman"/>
          <w:b/>
          <w:bCs/>
          <w:sz w:val="28"/>
          <w:szCs w:val="28"/>
        </w:rPr>
      </w:pPr>
      <w:r w:rsidRPr="009902FD">
        <w:rPr>
          <w:rFonts w:ascii="Times New Roman" w:eastAsia="Times New Roman" w:hAnsi="Times New Roman" w:cs="Times New Roman"/>
          <w:b/>
          <w:bCs/>
          <w:sz w:val="28"/>
          <w:szCs w:val="28"/>
        </w:rPr>
        <w:t>Forvaltningsloven</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b/>
          <w:bCs/>
        </w:rPr>
        <w:t>§ 11.</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(veiledningsplikt).</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Forvaltningsorganene har innenfor sitt sakområde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a)</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gjeldende lover og forskrifter og vanlig praksis på vedkommende sakområde, og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lastRenderedPageBreak/>
              <w:t>b)</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Uavhengig av om sak pågår, plikter forvaltningsorganet innen sitt sakområde å gi veiledning som nevnt i annet ledd til en person som spør om sine rettigheter og plikter i et konkret forhold som har aktuell interesse for ham.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3224B2"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Kongen kan gi nærmere bestemmelse om utstrekningen av veiledningsplikten og om den måten veiledningen skal ytes på.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b/>
          <w:bCs/>
        </w:rPr>
        <w:t>§ 18.</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(partenes adgang til å gjøre seg kjent med sakens dokumenter).</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Når det er adgang til å gjøre unntak fra innsyn, skal forvaltningsorganet likevel vurdere å gi helt eller delvis innsyn. Innsyn bør gis dersom hensynet til parten veier tyngre enn behovet for unntak.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b/>
          <w:bCs/>
        </w:rPr>
        <w:t>§ 28.</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(vedtak som kan påklages, klageinstans).</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Enkeltvedtak kan påklages av en part eller annen med rettslig klageinteresse i saken til det forvaltningsorgan (klageinstansen) som er nærmest overordnet det forvaltningsorgan som har truffet vedtaket (underinstansen).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lastRenderedPageBreak/>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a)</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når også underinstansen traff vedtak om å avvise klagen,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b)</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når underinstansen har prøvd avvisningsspørsmålet og kommet til at vilkårene for realitetsbehandling er til stede,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c)</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når Kongen vil være klageinstans,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d)</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når klagen er avvist av en uavhengig klagenemnd. </w:t>
            </w:r>
          </w:p>
        </w:tc>
      </w:tr>
    </w:tbl>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Er det klagerett over et vedtak om å avvise en klage som er truffet av et kommunalt eller fylkeskommunalt organ som klageinstans, går klagen til fylkesmannen.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3224B2" w:rsidRPr="009902FD" w:rsidRDefault="003224B2" w:rsidP="003224B2">
      <w:pPr>
        <w:spacing w:before="100" w:beforeAutospacing="1" w:after="100" w:afterAutospacing="1"/>
        <w:rPr>
          <w:rFonts w:ascii="Times New Roman" w:eastAsia="Times New Roman" w:hAnsi="Times New Roman" w:cs="Times New Roman"/>
        </w:rPr>
      </w:pPr>
      <w:bookmarkStart w:id="1" w:name="29"/>
      <w:bookmarkEnd w:id="1"/>
      <w:r w:rsidRPr="009902FD">
        <w:rPr>
          <w:rFonts w:ascii="Times New Roman" w:eastAsia="Times New Roman" w:hAnsi="Times New Roman" w:cs="Times New Roman"/>
          <w:b/>
          <w:bCs/>
        </w:rPr>
        <w:t>§ 29.</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(klagefrist).</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lastRenderedPageBreak/>
        <w:t xml:space="preserve">       For den som ikke har mottatt underretning om vedtaket, løper fristen fra det tidspunkt han har fått eller burde ha skaffet sig kjennskap til vedtaket. Ved vedtak som går ut på å tilstå noen en rettighet, skal klagefristen for andre likevel senest løpe ut når det er gått 3 måneder fra det tidspunkt vedtaket ble truffet.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Vedkommende underinstans eller klageinstans kan i særlige tilfelle forlenge klagefristen før denne er utløpet. </w:t>
      </w:r>
    </w:p>
    <w:p w:rsidR="003224B2" w:rsidRPr="009902FD" w:rsidRDefault="003224B2" w:rsidP="003224B2">
      <w:pPr>
        <w:spacing w:before="100" w:beforeAutospacing="1" w:after="100" w:afterAutospacing="1"/>
        <w:rPr>
          <w:rFonts w:ascii="Times New Roman" w:eastAsia="Times New Roman" w:hAnsi="Times New Roman" w:cs="Times New Roman"/>
        </w:rPr>
      </w:pPr>
      <w:bookmarkStart w:id="2" w:name="30"/>
      <w:bookmarkEnd w:id="2"/>
      <w:r w:rsidRPr="009902FD">
        <w:rPr>
          <w:rFonts w:ascii="Times New Roman" w:eastAsia="Times New Roman" w:hAnsi="Times New Roman" w:cs="Times New Roman"/>
          <w:b/>
          <w:bCs/>
        </w:rPr>
        <w:t>§ 30.</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(når klagen må være fremsatt).</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3224B2" w:rsidRPr="009902FD" w:rsidRDefault="003224B2" w:rsidP="003224B2">
      <w:pPr>
        <w:spacing w:before="100" w:beforeAutospacing="1" w:after="100" w:afterAutospacing="1"/>
        <w:rPr>
          <w:rFonts w:ascii="Times New Roman" w:eastAsia="Times New Roman" w:hAnsi="Times New Roman" w:cs="Times New Roman"/>
        </w:rPr>
      </w:pPr>
      <w:bookmarkStart w:id="3" w:name="31"/>
      <w:bookmarkEnd w:id="3"/>
      <w:r w:rsidRPr="009902FD">
        <w:rPr>
          <w:rFonts w:ascii="Times New Roman" w:eastAsia="Times New Roman" w:hAnsi="Times New Roman" w:cs="Times New Roman"/>
          <w:b/>
          <w:bCs/>
        </w:rPr>
        <w:t>§ 31.</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(oversitting av klagefristen).</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a)</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parten eller hans fullmektig ikke kan lastes for å ha oversittet fristen eller for å ha drøyd med klage etterpå, eller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b)</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det av særlige grunner er rimelig at klagen blir prøvd. </w:t>
            </w:r>
          </w:p>
        </w:tc>
      </w:tr>
    </w:tbl>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Ved vurderingen av om klagen bør tas opp til behandling, skal det også legges vekt på om endring av vedtaket kan medføre skade eller ulempe for andre.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lastRenderedPageBreak/>
        <w:t xml:space="preserve">       Klagen kan ikke tas under behandling som klagesak dersom det er gått mer enn ett år siden vedtaket ble truffet. </w:t>
      </w:r>
    </w:p>
    <w:p w:rsidR="003224B2" w:rsidRPr="009902FD" w:rsidRDefault="003224B2" w:rsidP="003224B2">
      <w:pPr>
        <w:spacing w:before="100" w:beforeAutospacing="1" w:after="100" w:afterAutospacing="1"/>
        <w:rPr>
          <w:rFonts w:ascii="Times New Roman" w:eastAsia="Times New Roman" w:hAnsi="Times New Roman" w:cs="Times New Roman"/>
        </w:rPr>
      </w:pPr>
      <w:bookmarkStart w:id="4" w:name="32"/>
      <w:bookmarkEnd w:id="4"/>
      <w:r w:rsidRPr="009902FD">
        <w:rPr>
          <w:rFonts w:ascii="Times New Roman" w:eastAsia="Times New Roman" w:hAnsi="Times New Roman" w:cs="Times New Roman"/>
          <w:b/>
          <w:bCs/>
        </w:rPr>
        <w:t>§ 32.</w:t>
      </w:r>
      <w:r w:rsidRPr="009902FD">
        <w:rPr>
          <w:rFonts w:ascii="Times New Roman" w:eastAsia="Times New Roman" w:hAnsi="Times New Roman" w:cs="Times New Roman"/>
        </w:rPr>
        <w:t xml:space="preserve"> </w:t>
      </w:r>
      <w:r w:rsidRPr="009902FD">
        <w:rPr>
          <w:rFonts w:ascii="Times New Roman" w:eastAsia="Times New Roman" w:hAnsi="Times New Roman" w:cs="Times New Roman"/>
          <w:i/>
          <w:iCs/>
        </w:rPr>
        <w:t>(klagens adressat, form og innhold).</w:t>
      </w:r>
      <w:r w:rsidRPr="009902FD">
        <w:rPr>
          <w:rFonts w:ascii="Times New Roman" w:eastAsia="Times New Roman" w:hAnsi="Times New Roman" w:cs="Times New Roman"/>
        </w:rPr>
        <w:t xml:space="preserve">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a)</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fremsettes for det forvaltningsorgan som har truffet vedtaket; dersom muntlig klage er tillatt, skal erklæringen settes opp skriftlig av vedkommende forvaltningsorgan;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b)</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være undertegnet av klageren eller hans fullmektig eller være autentisert som fastsatt i forskrift, eller i medhold av forskrift, jf. § 15 a;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c)</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nevne det vedtak som det klages over, og om påkrevet gi opplysninger til bedømmelse av klagerett og av om klagefrist er overholdt; </w:t>
            </w:r>
          </w:p>
        </w:tc>
      </w:tr>
    </w:tbl>
    <w:p w:rsidR="003224B2" w:rsidRPr="009902FD" w:rsidRDefault="003224B2" w:rsidP="003224B2">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48"/>
      </w:tblGrid>
      <w:tr w:rsidR="003224B2" w:rsidRPr="009902FD" w:rsidTr="003224B2">
        <w:trPr>
          <w:tblCellSpacing w:w="15" w:type="dxa"/>
        </w:trPr>
        <w:tc>
          <w:tcPr>
            <w:tcW w:w="200" w:type="pct"/>
            <w:hideMark/>
          </w:tcPr>
          <w:p w:rsidR="003224B2" w:rsidRPr="009902FD" w:rsidRDefault="003224B2" w:rsidP="003224B2">
            <w:pPr>
              <w:jc w:val="right"/>
              <w:rPr>
                <w:rFonts w:ascii="Times New Roman" w:eastAsia="Times New Roman" w:hAnsi="Times New Roman" w:cs="Times New Roman"/>
              </w:rPr>
            </w:pPr>
            <w:r w:rsidRPr="009902FD">
              <w:rPr>
                <w:rFonts w:ascii="Times New Roman" w:eastAsia="Times New Roman" w:hAnsi="Times New Roman" w:cs="Times New Roman"/>
              </w:rPr>
              <w:t>d)</w:t>
            </w:r>
          </w:p>
        </w:tc>
        <w:tc>
          <w:tcPr>
            <w:tcW w:w="0" w:type="auto"/>
            <w:hideMark/>
          </w:tcPr>
          <w:p w:rsidR="003224B2" w:rsidRPr="009902FD" w:rsidRDefault="003224B2" w:rsidP="003224B2">
            <w:pPr>
              <w:rPr>
                <w:rFonts w:ascii="Times New Roman" w:eastAsia="Times New Roman" w:hAnsi="Times New Roman" w:cs="Times New Roman"/>
              </w:rPr>
            </w:pPr>
            <w:r w:rsidRPr="009902FD">
              <w:rPr>
                <w:rFonts w:ascii="Times New Roman" w:eastAsia="Times New Roman" w:hAnsi="Times New Roman" w:cs="Times New Roman"/>
              </w:rPr>
              <w:t xml:space="preserve">nevne den endring som ønskes i det vedtak det klages over. </w:t>
            </w:r>
          </w:p>
        </w:tc>
      </w:tr>
    </w:tbl>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Erklæringene bør også nevne de grunner klagen støtter seg til.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Inneholder en erklæring om klage feil eller mangler, setter forvaltningsorganet en kort frist for rettelse eller utfylling. </w:t>
      </w:r>
    </w:p>
    <w:p w:rsidR="003224B2" w:rsidRPr="009902FD" w:rsidRDefault="003224B2" w:rsidP="003224B2">
      <w:pPr>
        <w:spacing w:before="100" w:beforeAutospacing="1" w:after="100" w:afterAutospacing="1"/>
        <w:rPr>
          <w:rFonts w:ascii="Times New Roman" w:eastAsia="Times New Roman" w:hAnsi="Times New Roman" w:cs="Times New Roman"/>
        </w:rPr>
      </w:pPr>
      <w:r w:rsidRPr="009902FD">
        <w:rPr>
          <w:rFonts w:ascii="Times New Roman" w:eastAsia="Times New Roman" w:hAnsi="Times New Roman" w:cs="Times New Roman"/>
        </w:rPr>
        <w:t xml:space="preserve">       Erklæring om klage kan fremsettes ved bruk av elektronisk kommunikasjon dersom det forvaltningsorganet som skal motta klagen, har lagt til rette for dette. </w:t>
      </w:r>
    </w:p>
    <w:p w:rsidR="003224B2" w:rsidRPr="009902FD" w:rsidRDefault="003224B2" w:rsidP="003224B2">
      <w:pPr>
        <w:spacing w:before="100" w:beforeAutospacing="1" w:after="100" w:afterAutospacing="1"/>
        <w:rPr>
          <w:rFonts w:ascii="Times New Roman" w:eastAsia="Times New Roman" w:hAnsi="Times New Roman" w:cs="Times New Roman"/>
        </w:rPr>
      </w:pPr>
    </w:p>
    <w:p w:rsidR="003224B2" w:rsidRPr="006709F1" w:rsidRDefault="003224B2" w:rsidP="003224B2">
      <w:pPr>
        <w:spacing w:before="100" w:beforeAutospacing="1" w:after="100" w:afterAutospacing="1"/>
        <w:rPr>
          <w:rFonts w:ascii="Times New Roman" w:eastAsia="Times New Roman" w:hAnsi="Times New Roman" w:cs="Times New Roman"/>
        </w:rPr>
      </w:pPr>
    </w:p>
    <w:p w:rsidR="003224B2" w:rsidRDefault="003224B2" w:rsidP="003224B2">
      <w:pPr>
        <w:pStyle w:val="NormalWeb"/>
      </w:pPr>
    </w:p>
    <w:p w:rsidR="003224B2" w:rsidRPr="00331ABB" w:rsidRDefault="003224B2" w:rsidP="003224B2">
      <w:pPr>
        <w:spacing w:before="100" w:beforeAutospacing="1" w:after="100" w:afterAutospacing="1"/>
        <w:rPr>
          <w:rFonts w:ascii="Times New Roman" w:eastAsia="Times New Roman" w:hAnsi="Times New Roman" w:cs="Times New Roman"/>
        </w:rPr>
      </w:pPr>
    </w:p>
    <w:p w:rsidR="003224B2" w:rsidRDefault="003224B2"/>
    <w:sectPr w:rsidR="003224B2" w:rsidSect="00994D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B2"/>
    <w:rsid w:val="003224B2"/>
    <w:rsid w:val="008531EF"/>
    <w:rsid w:val="00994DB6"/>
    <w:rsid w:val="009F27D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81C5192-21F4-4AEB-AAB6-A8E8A035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3224B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9991</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Norsk Vann</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Gjertrud Eid</dc:creator>
  <cp:keywords/>
  <dc:description/>
  <cp:lastModifiedBy>Elin Riise</cp:lastModifiedBy>
  <cp:revision>2</cp:revision>
  <dcterms:created xsi:type="dcterms:W3CDTF">2015-09-10T12:42:00Z</dcterms:created>
  <dcterms:modified xsi:type="dcterms:W3CDTF">2015-09-10T12:42:00Z</dcterms:modified>
</cp:coreProperties>
</file>